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716"/>
        <w:tblW w:w="15273" w:type="dxa"/>
        <w:tblLook w:val="0000" w:firstRow="0" w:lastRow="0" w:firstColumn="0" w:lastColumn="0" w:noHBand="0" w:noVBand="0"/>
      </w:tblPr>
      <w:tblGrid>
        <w:gridCol w:w="5209"/>
        <w:gridCol w:w="4961"/>
        <w:gridCol w:w="5103"/>
      </w:tblGrid>
      <w:tr>
        <w:trPr>
          <w:trHeight w:val="1985"/>
        </w:trPr>
        <w:tc>
          <w:tcPr>
            <w:tcW w:w="5209" w:type="dxa"/>
          </w:tcPr>
          <w:p>
            <w:pPr>
              <w:spacing w:after="0" w:line="240" w:lineRule="auto"/>
              <w:ind w:left="-3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_Toc483313215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ПОДТВЕРЖДЕН </w:t>
            </w:r>
          </w:p>
          <w:p>
            <w:pPr>
              <w:spacing w:after="0" w:line="240" w:lineRule="auto"/>
              <w:ind w:left="-3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решением Ревизионной комиссии </w:t>
            </w:r>
          </w:p>
          <w:p>
            <w:pPr>
              <w:spacing w:after="0" w:line="240" w:lineRule="auto"/>
              <w:ind w:left="-3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ПАО «Россети Волга»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«04» мая 2026 года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(протокол от «04» мая 2026 года № 3)</w:t>
            </w:r>
          </w:p>
        </w:tc>
        <w:tc>
          <w:tcPr>
            <w:tcW w:w="4961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УТВЕРЖДЕН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решением Совета директоров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ПАО «Россети Волга»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«13» мая 2026 года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(протокол от «14» мая 2026 года № 26)</w:t>
            </w:r>
          </w:p>
        </w:tc>
      </w:tr>
    </w:tbl>
    <w:p>
      <w:pPr>
        <w:spacing w:after="120" w:line="240" w:lineRule="auto"/>
        <w:ind w:firstLine="576"/>
        <w:jc w:val="both"/>
        <w:rPr>
          <w:rFonts w:ascii="Arial Narrow" w:eastAsia="Times New Roman" w:hAnsi="Arial Narrow" w:cs="Times New Roman"/>
          <w:bCs/>
          <w:color w:val="2E74B5"/>
          <w:sz w:val="28"/>
          <w:szCs w:val="26"/>
        </w:rPr>
      </w:pPr>
    </w:p>
    <w:p>
      <w:pPr>
        <w:spacing w:after="120" w:line="240" w:lineRule="auto"/>
        <w:ind w:firstLine="576"/>
        <w:jc w:val="both"/>
        <w:rPr>
          <w:rFonts w:ascii="Arial Narrow" w:eastAsia="Times New Roman" w:hAnsi="Arial Narrow" w:cs="Times New Roman"/>
          <w:bCs/>
          <w:color w:val="2E74B5"/>
          <w:sz w:val="28"/>
          <w:szCs w:val="26"/>
        </w:rPr>
      </w:pPr>
    </w:p>
    <w:p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Отчет о заключенных ПАО «Россети Волга» в 2025 году сделках, 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 совершении которых имеется заинтересованность</w:t>
      </w:r>
    </w:p>
    <w:p>
      <w:pPr>
        <w:tabs>
          <w:tab w:val="left" w:pos="5040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>
      <w:pPr>
        <w:widowControl w:val="0"/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2191" w:type="dxa"/>
        <w:tblInd w:w="2263" w:type="dxa"/>
        <w:tblLayout w:type="fixed"/>
        <w:tblLook w:val="0000" w:firstRow="0" w:lastRow="0" w:firstColumn="0" w:lastColumn="0" w:noHBand="0" w:noVBand="0"/>
      </w:tblPr>
      <w:tblGrid>
        <w:gridCol w:w="4253"/>
        <w:gridCol w:w="3685"/>
        <w:gridCol w:w="4253"/>
      </w:tblGrid>
      <w:tr>
        <w:trPr>
          <w:trHeight w:val="1011"/>
        </w:trPr>
        <w:tc>
          <w:tcPr>
            <w:tcW w:w="4253" w:type="dxa"/>
          </w:tcPr>
          <w:p>
            <w:pPr>
              <w:widowControl w:val="0"/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</w:tcPr>
          <w:p>
            <w:pPr>
              <w:widowControl w:val="0"/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>
            <w:pPr>
              <w:widowControl w:val="0"/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>
            <w:pPr>
              <w:widowControl w:val="0"/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>
            <w:pPr>
              <w:widowControl w:val="0"/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>
      <w:pPr>
        <w:tabs>
          <w:tab w:val="left" w:pos="8505"/>
        </w:tabs>
        <w:spacing w:after="0" w:line="240" w:lineRule="auto"/>
        <w:ind w:left="92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Генеральный директор </w:t>
      </w:r>
    </w:p>
    <w:p>
      <w:pPr>
        <w:tabs>
          <w:tab w:val="left" w:pos="8505"/>
        </w:tabs>
        <w:spacing w:after="0" w:line="240" w:lineRule="auto"/>
        <w:ind w:left="92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5851837</wp:posOffset>
            </wp:positionH>
            <wp:positionV relativeFrom="paragraph">
              <wp:posOffset>183515</wp:posOffset>
            </wp:positionV>
            <wp:extent cx="1628571" cy="609524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571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6"/>
          <w:szCs w:val="26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Волга» </w:t>
      </w:r>
    </w:p>
    <w:p>
      <w:pPr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>
      <w:pPr>
        <w:spacing w:after="0" w:line="240" w:lineRule="auto"/>
        <w:ind w:left="8496" w:firstLine="708"/>
        <w:rPr>
          <w:rFonts w:ascii="Times New Roman" w:eastAsia="Times New Roman" w:hAnsi="Times New Roman" w:cs="Times New Roman"/>
          <w:sz w:val="26"/>
          <w:szCs w:val="26"/>
        </w:rPr>
      </w:pPr>
    </w:p>
    <w:p>
      <w:pPr>
        <w:spacing w:after="0" w:line="240" w:lineRule="auto"/>
        <w:ind w:left="8496" w:firstLine="708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А.И. Гаврилов  </w:t>
      </w:r>
    </w:p>
    <w:p>
      <w:pPr>
        <w:tabs>
          <w:tab w:val="left" w:pos="5040"/>
          <w:tab w:val="left" w:pos="6237"/>
        </w:tabs>
        <w:spacing w:after="0" w:line="240" w:lineRule="auto"/>
        <w:ind w:left="147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Саратов</w:t>
      </w:r>
    </w:p>
    <w:p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2026 год</w:t>
      </w:r>
      <w:r>
        <w:rPr>
          <w:rFonts w:ascii="Times New Roman" w:eastAsia="Calibri" w:hAnsi="Times New Roman" w:cs="Times New Roman"/>
          <w:sz w:val="24"/>
          <w:szCs w:val="24"/>
        </w:rPr>
        <w:br w:type="page" w:clear="all"/>
      </w:r>
    </w:p>
    <w:tbl>
      <w:tblPr>
        <w:tblStyle w:val="a3"/>
        <w:tblpPr w:leftFromText="180" w:rightFromText="180" w:vertAnchor="page" w:horzAnchor="margin" w:tblpY="2323"/>
        <w:tblW w:w="5175" w:type="pct"/>
        <w:tblLayout w:type="fixed"/>
        <w:tblLook w:val="04A0" w:firstRow="1" w:lastRow="0" w:firstColumn="1" w:lastColumn="0" w:noHBand="0" w:noVBand="1"/>
      </w:tblPr>
      <w:tblGrid>
        <w:gridCol w:w="562"/>
        <w:gridCol w:w="1986"/>
        <w:gridCol w:w="1558"/>
        <w:gridCol w:w="4394"/>
        <w:gridCol w:w="3080"/>
        <w:gridCol w:w="1597"/>
        <w:gridCol w:w="1893"/>
      </w:tblGrid>
      <w:tr>
        <w:tc>
          <w:tcPr>
            <w:tcW w:w="186" w:type="pct"/>
            <w:shd w:val="clear" w:color="auto" w:fill="auto"/>
            <w:vAlign w:val="center"/>
          </w:tcPr>
          <w:bookmarkEnd w:id="0"/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59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сделки</w:t>
            </w:r>
          </w:p>
        </w:tc>
        <w:tc>
          <w:tcPr>
            <w:tcW w:w="517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  <w:r>
              <w:rPr>
                <w:b/>
              </w:rPr>
              <w:t>совершения</w:t>
            </w:r>
            <w:r>
              <w:rPr>
                <w:b/>
                <w:sz w:val="24"/>
                <w:szCs w:val="24"/>
              </w:rPr>
              <w:t xml:space="preserve"> сделки</w:t>
            </w:r>
          </w:p>
        </w:tc>
        <w:tc>
          <w:tcPr>
            <w:tcW w:w="1458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Существенные условия сделки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сделки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(стороны,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предмет, цена</w:t>
            </w:r>
            <w:r>
              <w:rPr>
                <w:rStyle w:val="ae"/>
                <w:b/>
                <w:sz w:val="24"/>
                <w:szCs w:val="24"/>
              </w:rPr>
              <w:footnoteReference w:id="1"/>
            </w:r>
            <w:r>
              <w:rPr>
                <w:b/>
                <w:sz w:val="24"/>
                <w:szCs w:val="24"/>
              </w:rPr>
              <w:t>,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действия)</w:t>
            </w:r>
          </w:p>
        </w:tc>
        <w:tc>
          <w:tcPr>
            <w:tcW w:w="1022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Лицо(-а), являющееся заинтересованным в совершении сделки</w:t>
            </w:r>
          </w:p>
        </w:tc>
        <w:tc>
          <w:tcPr>
            <w:tcW w:w="530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Извещение о сделке, в совершении которой имеется заинтересованность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(реквизиты письма)</w:t>
            </w:r>
          </w:p>
        </w:tc>
        <w:tc>
          <w:tcPr>
            <w:tcW w:w="628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 управления,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принявший решение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 согласии на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совершение сделки или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ее последующем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одобрении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(при наличии такого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решения - реквизиты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протокола)</w:t>
            </w:r>
          </w:p>
        </w:tc>
      </w:tr>
      <w:tr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58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22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28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>
        <w:trPr>
          <w:trHeight w:val="558"/>
        </w:trPr>
        <w:tc>
          <w:tcPr>
            <w:tcW w:w="186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9" w:type="pct"/>
            <w:shd w:val="clear" w:color="auto" w:fill="auto"/>
          </w:tcPr>
          <w:p>
            <w:pPr>
              <w:keepNext/>
              <w:jc w:val="center"/>
              <w:outlineLvl w:val="0"/>
            </w:pPr>
            <w:r>
              <w:t>Договор</w:t>
            </w:r>
            <w:r>
              <w:rPr>
                <w:rStyle w:val="ae"/>
              </w:rPr>
              <w:footnoteReference w:id="2"/>
            </w:r>
          </w:p>
          <w:p>
            <w:pPr>
              <w:keepNext/>
              <w:jc w:val="center"/>
              <w:outlineLvl w:val="0"/>
            </w:pPr>
            <w:r>
              <w:t xml:space="preserve">О внесении вклада в имущество юридического лица, не увеличивающего его уставный капитал и не изменяющего номинальную стоимость акций, </w:t>
            </w:r>
            <w:r>
              <w:lastRenderedPageBreak/>
              <w:t>источником которого является субсидия из федерального бюджета</w:t>
            </w:r>
          </w:p>
          <w:p>
            <w:pPr>
              <w:keepNext/>
              <w:jc w:val="center"/>
              <w:outlineLvl w:val="0"/>
            </w:pPr>
            <w:r>
              <w:t>№ 0000000002224Р070002/1367837</w:t>
            </w:r>
          </w:p>
          <w:p>
            <w:pPr>
              <w:keepNext/>
              <w:outlineLvl w:val="0"/>
            </w:pPr>
          </w:p>
        </w:tc>
        <w:tc>
          <w:tcPr>
            <w:tcW w:w="517" w:type="pct"/>
            <w:shd w:val="clear" w:color="auto" w:fill="auto"/>
          </w:tcPr>
          <w:p>
            <w:pPr>
              <w:keepNext/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22.05.2025</w:t>
            </w:r>
          </w:p>
        </w:tc>
        <w:tc>
          <w:tcPr>
            <w:tcW w:w="1458" w:type="pct"/>
            <w:shd w:val="clear" w:color="auto" w:fill="auto"/>
          </w:tcPr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Стороны Договора: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ПАО «Россети Волга» (Общество);</w:t>
            </w:r>
          </w:p>
          <w:p>
            <w:pPr>
              <w:ind w:left="-106" w:right="-249" w:firstLine="570"/>
              <w:contextualSpacing/>
              <w:jc w:val="both"/>
              <w:rPr>
                <w:bCs/>
              </w:rPr>
            </w:pPr>
            <w:r>
              <w:rPr>
                <w:bCs/>
              </w:rPr>
              <w:t>ПАО «Россети» (Акционер).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Предмет Договора: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Предметом договора является внесение Акционером вклада в имущество Общества, не увеличивающего его уставный капитал и не изменяющего номинальную стоимость акций Общества (далее – Вклад), источником которого является субсидия из федерального бюджета, </w:t>
            </w:r>
            <w:r>
              <w:rPr>
                <w:bCs/>
              </w:rPr>
              <w:lastRenderedPageBreak/>
              <w:t>предоставленная Акционеру в соответствии с Бюджетным кодексом Российской Федерации, Федеральным законом от 30.11.2024 № 419-ФЗ «О федеральном бюджете на 2025 год и на плановый период 2026 и 2027 годов», постановлением Правительства Российской Федерации № 1780 от 25.10.2023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услуг», решением о порядке предоставления субсидии № 24-62116-01558-Р от 28.02.2025, а также соглашением (договором) о предоставлении ПАО «Россети» из федерального бюджета субсидии в виде вклада в имущество юридического лица, не увеличивающего его уставный капитал от 29.02.2024 № 022-11-2024-002 с учетом изменений и дополнений, внесенных дополнительным соглашением от 28.02.2025 № 022-11-2024-002/1 (далее - Соглашение), в целях: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достижения результата (выполнения мероприятия) федерального проекта «Гарантированное обеспечение доступной электроэнергией» государственной программы Российской Федерации «Развитие энергетики»;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финансового обеспечения (возмещения) затрат Общества по поддержанию надежного обеспечения потребителей электрической энергии посредством реализации мероприятий по повышению надежности электросетевого комплекса путем приобретения необходимых для этого товаров, работ, услуг.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Общество обязуется завершить реализацию мероприятий по повышению надежности в электросетевом комплексе, затраты на которые финансировались за счет Вклада, не позднее 31.12.2027.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Средства Вклада направляются только на реализацию мероприятий, включенных в программы повышения надежности электросетевого комплекса, согласованные с Минэнерго России и утвержденные руководством субъекта Российской Федерации согласно Договору.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Вклад вносится Акционером в следующие сроки: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2025 году - не позднее 31.12.2025;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2026 году - не позднее 31.12.2026;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2027 году - не позднее 31.12.2027.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Вклад, внесенный в имущество Общества, не изменяет размер доли Акционера, не увеличивает уставный капитал Общества и не изменяет номинальную стоимость акций.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Цена Договора: 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Цена Договора состоит из размера Вклада в сумме 2 335 435 530 (Два миллиарда триста тридцать пять миллионов четыреста тридцать пять тысяч пятьсот тридцать) рублей 08 копеек.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внесения Вклада: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Вклад вносится Акционером на цели, указанные в разделе I Договора, в размере 2 335 435 530 (Два миллиарда триста тридцать пять миллионов четыреста тридцать пять тысяч пятьсот тридцать) рублей 08 копеек, определенном решением Совета директоров ПАО «Россети» от 28.02.2025 (протокол от 28.02.2025 № 676), в пределах объема субсидии, полученной Акционером в соответствии с Соглашением по кодам классификации расходов федерального бюджета (далее – коды БК), в том числе: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2025 году 83 691 979 (Восемьдесят три миллиона шестьсот девяносто одна тысяча девятьсот семьдесят девять) рублей 16 копеек - по коду БК 022 0402 30 2 01 62116 812;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в 2026 году 1 389 751 020 (Один миллиард триста восемьдесят девять миллионов семьсот </w:t>
            </w:r>
            <w:r>
              <w:rPr>
                <w:bCs/>
              </w:rPr>
              <w:lastRenderedPageBreak/>
              <w:t>пятьдесят одна тысяча двадцать) рублей 84 копейки - по коду БК 022 0402 30 2 01 62116 812;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2027 году 861 992 530 (Восемьсот шестьдесят один миллион девятьсот девяносто две тысячи пятьсот тридцать) рублей 08 копеек - по коду БК 022 0402 30 2 01 62116 812.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Идентификатор государственного контракта (далее - ИГК) по Соглашению: ИГК № 0000000002224P070002.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Иные существенные условия Договора/порядок их определения: 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Вклад вносится в имущество Общества на финансовое обеспечение (возмещение) затрат Общества, источником финансового обеспечения которых является Вклад согласно Договору.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Внесение Вклада осуществляется в соответствии с бюджетным законодательством Российской Федерации.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Условием внесения Вклада является согласие Общества на осуществление в отношении его контроля за соблюдением целей, условий и порядка внесения Вклада, в том числе в части достижения результатов внесения Вклада, главным распорядителем бюджетных средств, а также органами государственного (муниципального) финансового контроля в соответствии со статьями 268.1 и 269.2 Бюджетного кодекса Российской Федерации.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Акционер вправе принимать решение об изменении условий Договора, включая уменьшение размера Вклада, а также увеличение размера Вклада, в случае соответствующих изменений размера предоставляемой Акционеру субсидии в рамках Соглашения.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В случае установления Акционером или получения от Минэнерго России, органа государственного финансового контроля информации о факте(ах) нарушения Обществом условий внесения Вклада, установленных Договором, в том числе </w:t>
            </w:r>
            <w:proofErr w:type="spellStart"/>
            <w:r>
              <w:rPr>
                <w:bCs/>
              </w:rPr>
              <w:t>недостижения</w:t>
            </w:r>
            <w:proofErr w:type="spellEnd"/>
            <w:r>
              <w:rPr>
                <w:bCs/>
              </w:rPr>
              <w:t xml:space="preserve"> значений результатов внесения Вклада, показателей, </w:t>
            </w:r>
            <w:r>
              <w:rPr>
                <w:bCs/>
              </w:rPr>
              <w:lastRenderedPageBreak/>
              <w:t>установленных в соответствии с Договором, Акционер направляет Обществу требование об обеспечении возврата Вклада, в связи с чем Общество обязуется: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устранять факт(ы) нарушения условий, установленных при внесении Вклада, в сроки, определенные в указанном требовании;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возвращать Вклад в размере и в сроки, определенные в указанном требовании;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уплатить штрафные санкции, в случае принятия Акционером к Обществу штрафных санкций в соответствии с Договором, в срок, установленный Акционером в требовании об уплате штрафных санкций.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Общество обязуется: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возвращать неиспользованный остаток Вклада в случае отсутствия решения Минэнерго России об использовании остатка субсидии, не использованного на начало очередного финансового года, на цели, указанные в разделе I Договора, в срок до 31.12.2028;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обеспечить достижение значений результатов внесения Вклада, характеристик, устанавливаемых в соответствии с Договором, и соблюдение сроков их достижения;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обеспечить реализацию плана мероприятий по достижению результатов внесения Вклада (контрольных точек), устанавливаемого в соответствии с Договором.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Срок действия Договора: </w:t>
            </w:r>
          </w:p>
          <w:p>
            <w:pPr>
              <w:ind w:firstLine="464"/>
              <w:jc w:val="both"/>
              <w:rPr>
                <w:bCs/>
              </w:rPr>
            </w:pPr>
            <w:r>
              <w:rPr>
                <w:bCs/>
              </w:rPr>
              <w:t>Договор вступает в силу с даты его подписания лицами, имеющими право действовать от имени каждой из Сторон, но не ранее получения Акционером средств субсидии, указанных в пункте 2.1 Договора, и действует до полного исполнения Сторонами своих обязательств по Договору.</w:t>
            </w:r>
          </w:p>
        </w:tc>
        <w:tc>
          <w:tcPr>
            <w:tcW w:w="1022" w:type="pct"/>
            <w:shd w:val="clear" w:color="auto" w:fill="auto"/>
          </w:tcPr>
          <w:p>
            <w:pPr>
              <w:pStyle w:val="a8"/>
              <w:numPr>
                <w:ilvl w:val="0"/>
                <w:numId w:val="3"/>
              </w:numPr>
              <w:tabs>
                <w:tab w:val="left" w:pos="316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ПАО «Россети» -   Контролирующее лицо </w:t>
            </w:r>
            <w:r>
              <w:rPr>
                <w:bCs/>
              </w:rPr>
              <w:br/>
              <w:t>ПАО «Россети Волга», одновременно являющееся стороной сделки.</w:t>
            </w:r>
            <w:r>
              <w:rPr>
                <w:sz w:val="24"/>
                <w:szCs w:val="24"/>
              </w:rPr>
              <w:t xml:space="preserve"> </w:t>
            </w:r>
            <w:r>
              <w:t>Доля участия ПАО «Россети» в уставном капитале эмитента (ПАО «Россети Волга»): 68,47%</w:t>
            </w:r>
          </w:p>
          <w:p>
            <w:pPr>
              <w:pStyle w:val="a8"/>
              <w:numPr>
                <w:ilvl w:val="0"/>
                <w:numId w:val="3"/>
              </w:numPr>
              <w:tabs>
                <w:tab w:val="left" w:pos="316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Мольский Алексей Валерьевич - член Совета </w:t>
            </w:r>
            <w:r>
              <w:rPr>
                <w:bCs/>
              </w:rPr>
              <w:lastRenderedPageBreak/>
              <w:t>директоров ПАО «Россети Волга», одновременно являющийся членом Правления ПАО «Россети», являющегося стороной сделки.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Доля участия </w:t>
            </w:r>
            <w:proofErr w:type="spellStart"/>
            <w:r>
              <w:t>Мольского</w:t>
            </w:r>
            <w:proofErr w:type="spellEnd"/>
            <w:r>
              <w:t xml:space="preserve"> Алексея Валерьевича в уставном капитале эмитента (ПАО «Россети Волга») и контрагента (ПАО «Россети»): доли не имеет.</w:t>
            </w:r>
          </w:p>
          <w:p>
            <w:pPr>
              <w:pStyle w:val="a8"/>
              <w:numPr>
                <w:ilvl w:val="0"/>
                <w:numId w:val="3"/>
              </w:numPr>
              <w:tabs>
                <w:tab w:val="left" w:pos="316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Харитонов Владимир Вячеславович - член Совета директоров ПАО «Россети Волга», одновременно являющийся членом Правления ПАО «Россети», являющего стороной сделки.</w:t>
            </w:r>
            <w:r>
              <w:rPr>
                <w:sz w:val="24"/>
                <w:szCs w:val="24"/>
              </w:rPr>
              <w:t xml:space="preserve"> </w:t>
            </w:r>
            <w:r>
              <w:t>Доля участия Харитонова Владимира Вячеславовича в уставном капитале эмитента (ПАО «Россети Волга») и контрагента (ПАО «Россети»)): доли не имеет.</w:t>
            </w:r>
          </w:p>
          <w:p>
            <w:pPr>
              <w:pStyle w:val="a8"/>
              <w:ind w:left="0"/>
              <w:jc w:val="both"/>
              <w:rPr>
                <w:bCs/>
              </w:rPr>
            </w:pPr>
          </w:p>
        </w:tc>
        <w:tc>
          <w:tcPr>
            <w:tcW w:w="530" w:type="pct"/>
            <w:shd w:val="clear" w:color="auto" w:fill="auto"/>
          </w:tcPr>
          <w:p>
            <w:pPr>
              <w:ind w:firstLine="34"/>
              <w:jc w:val="center"/>
            </w:pPr>
            <w:r>
              <w:lastRenderedPageBreak/>
              <w:t>от 23.04.2025</w:t>
            </w:r>
          </w:p>
          <w:p>
            <w:pPr>
              <w:ind w:firstLine="34"/>
              <w:jc w:val="center"/>
            </w:pPr>
            <w:r>
              <w:t xml:space="preserve">№ МР6/1/85 </w:t>
            </w:r>
          </w:p>
          <w:p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628" w:type="pct"/>
            <w:shd w:val="clear" w:color="auto" w:fill="auto"/>
          </w:tcPr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 xml:space="preserve">Вопрос о согласии на заключение сделки, планируемой к заключению на условиях, указанных в извещении, не выносился на рассмотрение </w:t>
            </w:r>
            <w:r>
              <w:rPr>
                <w:rFonts w:eastAsia="Calibri"/>
                <w:shd w:val="clear" w:color="auto" w:fill="FFFFFF"/>
              </w:rPr>
              <w:lastRenderedPageBreak/>
              <w:t xml:space="preserve">Совета директоров Общества, в связи с тем, что Обществом не было получено </w:t>
            </w:r>
            <w:r>
              <w:rPr>
                <w:rFonts w:eastAsia="Calibri"/>
                <w:sz w:val="21"/>
                <w:szCs w:val="21"/>
                <w:shd w:val="clear" w:color="auto" w:fill="FFFFFF"/>
              </w:rPr>
              <w:t xml:space="preserve">соответствующее </w:t>
            </w:r>
            <w:r>
              <w:rPr>
                <w:rFonts w:eastAsia="Calibri"/>
                <w:shd w:val="clear" w:color="auto" w:fill="FFFFFF"/>
              </w:rPr>
              <w:t>требование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</w:p>
          <w:p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В соответствии с подпунктом 62 «а» пункта 15.1 статьи 15 Устава </w:t>
            </w:r>
            <w:r>
              <w:rPr>
                <w:rFonts w:eastAsia="Calibri"/>
              </w:rPr>
              <w:br/>
              <w:t xml:space="preserve">ПАО «Россети Волга» договор одобрен решением Совета директоров </w:t>
            </w:r>
            <w:r>
              <w:rPr>
                <w:rFonts w:eastAsia="Calibri"/>
              </w:rPr>
              <w:br/>
              <w:t xml:space="preserve">ПАО «Россети Волга» </w:t>
            </w:r>
          </w:p>
          <w:p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 06.05.2026</w:t>
            </w:r>
            <w:r>
              <w:rPr>
                <w:rFonts w:eastAsia="Calibri"/>
              </w:rPr>
              <w:br/>
              <w:t>(протокол от 06.05.2025 № 21)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558"/>
        </w:trPr>
        <w:tc>
          <w:tcPr>
            <w:tcW w:w="186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59" w:type="pct"/>
            <w:shd w:val="clear" w:color="auto" w:fill="auto"/>
          </w:tcPr>
          <w:p>
            <w:pPr>
              <w:keepNext/>
              <w:jc w:val="center"/>
              <w:outlineLvl w:val="0"/>
            </w:pPr>
            <w:r>
              <w:t xml:space="preserve">Договор </w:t>
            </w:r>
            <w:r>
              <w:br/>
              <w:t xml:space="preserve">№ 14004404 возмездного оказания услуг </w:t>
            </w:r>
            <w:r>
              <w:lastRenderedPageBreak/>
              <w:t xml:space="preserve">(регистрационный № 2591-000355) </w:t>
            </w:r>
          </w:p>
        </w:tc>
        <w:tc>
          <w:tcPr>
            <w:tcW w:w="517" w:type="pct"/>
            <w:shd w:val="clear" w:color="auto" w:fill="auto"/>
          </w:tcPr>
          <w:p>
            <w:pPr>
              <w:keepNext/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10.09.2025</w:t>
            </w:r>
          </w:p>
        </w:tc>
        <w:tc>
          <w:tcPr>
            <w:tcW w:w="1458" w:type="pct"/>
            <w:shd w:val="clear" w:color="auto" w:fill="auto"/>
          </w:tcPr>
          <w:p>
            <w:pPr>
              <w:widowControl w:val="0"/>
              <w:ind w:firstLine="458"/>
              <w:contextualSpacing/>
              <w:jc w:val="both"/>
              <w:rPr>
                <w:b/>
              </w:rPr>
            </w:pPr>
            <w:r>
              <w:rPr>
                <w:b/>
              </w:rPr>
              <w:t>Стороны Договора:</w:t>
            </w:r>
          </w:p>
          <w:p>
            <w:pPr>
              <w:widowControl w:val="0"/>
              <w:ind w:firstLine="458"/>
              <w:jc w:val="both"/>
            </w:pPr>
            <w:r>
              <w:t>ПАО «Россети» (Исполнитель);</w:t>
            </w:r>
          </w:p>
          <w:p>
            <w:pPr>
              <w:widowControl w:val="0"/>
              <w:ind w:firstLine="458"/>
              <w:jc w:val="both"/>
            </w:pPr>
            <w:r>
              <w:t>ПАО «Россети Волга» (Заказчик).</w:t>
            </w:r>
          </w:p>
          <w:p>
            <w:pPr>
              <w:widowControl w:val="0"/>
              <w:ind w:firstLine="458"/>
              <w:jc w:val="both"/>
              <w:rPr>
                <w:b/>
              </w:rPr>
            </w:pPr>
            <w:r>
              <w:rPr>
                <w:b/>
              </w:rPr>
              <w:t xml:space="preserve">Предмет Договора: </w:t>
            </w:r>
          </w:p>
          <w:p>
            <w:pPr>
              <w:widowControl w:val="0"/>
              <w:ind w:firstLine="458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Заказчик поручает, а Исполнитель </w:t>
            </w:r>
            <w:r>
              <w:rPr>
                <w:lang w:eastAsia="x-none"/>
              </w:rPr>
              <w:lastRenderedPageBreak/>
              <w:t>принимает на себя обязательства по осуществлению технического надзора на объектах электросетевого хозяйства Заказчика, в том числе объектах нового строительства, реконструкции и технического перевооружения (далее - Объекты), оказанию</w:t>
            </w:r>
            <w:r>
              <w:rPr>
                <w:sz w:val="26"/>
                <w:szCs w:val="26"/>
                <w:lang w:eastAsia="x-none"/>
              </w:rPr>
              <w:t xml:space="preserve"> </w:t>
            </w:r>
            <w:r>
              <w:rPr>
                <w:lang w:eastAsia="x-none"/>
              </w:rPr>
              <w:t>методологической и организационной поддержки функционирования Объектов в части обеспечения охраны труда, промышленной, пожарной и экологической безопасности (далее – Услуги), а Заказчик обязуется принять и оплатить Услуги.</w:t>
            </w:r>
          </w:p>
          <w:p>
            <w:pPr>
              <w:widowControl w:val="0"/>
              <w:ind w:firstLine="458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Заказчик в целях создания необходимых условий для деятельности персонала Исполнителя, непосредственно осуществляющего оказание Услуг на Объектах Заказчика, предоставляет Исполнителю на возмездной основе в течение всего срока действия Договора рабочие места (помещения), обеспеченные мебелью, компьютерной </w:t>
            </w:r>
            <w:r>
              <w:rPr>
                <w:lang w:eastAsia="x-none"/>
              </w:rPr>
              <w:br/>
              <w:t>и организационной техникой, офисным оборудованием, средствами связи, услугами стационарной связи и интернета, канцелярскими товарами.</w:t>
            </w:r>
          </w:p>
          <w:p>
            <w:pPr>
              <w:tabs>
                <w:tab w:val="left" w:pos="1276"/>
              </w:tabs>
              <w:ind w:firstLine="458"/>
              <w:jc w:val="both"/>
            </w:pPr>
            <w:r>
              <w:t xml:space="preserve">Объекты, в отношении которых осуществляется оказание Услуг, согласованы Сторонами на дату подписания Договора в приложении 1 к настоящему отчету. </w:t>
            </w:r>
          </w:p>
          <w:p>
            <w:pPr>
              <w:widowControl w:val="0"/>
              <w:ind w:firstLine="458"/>
              <w:jc w:val="both"/>
            </w:pPr>
            <w:r>
              <w:t>Перечень Объектов Заказчика, в отношении которых осуществляется оказание Услуг</w:t>
            </w:r>
            <w:r>
              <w:rPr>
                <w:sz w:val="26"/>
                <w:szCs w:val="26"/>
              </w:rPr>
              <w:t xml:space="preserve"> </w:t>
            </w:r>
            <w:r>
              <w:t>(приложение 1 к настоящему отчету), может ежеквартально корректироваться по инициативе каждой из Сторон без необходимости заключения дополнительного соглашения к Договору.</w:t>
            </w:r>
          </w:p>
          <w:p>
            <w:pPr>
              <w:widowControl w:val="0"/>
              <w:ind w:firstLine="458"/>
              <w:jc w:val="both"/>
            </w:pPr>
            <w:r>
              <w:t xml:space="preserve">Сторона (инициатор корректировки) направляет другой Стороне на согласование предложения по корректировке не позднее, чем за 2 месяца до начала соответствующего квартала. Согласованная корректировка Перечня Объектов Заказчика, в отношении которых осуществляется оказание Услуг, или </w:t>
            </w:r>
            <w:r>
              <w:rPr>
                <w:bCs/>
              </w:rPr>
              <w:lastRenderedPageBreak/>
              <w:t>письменные мотивированные возражения</w:t>
            </w:r>
            <w:r>
              <w:t xml:space="preserve"> направляются Стороне (инициатору корректировки) не позднее, чем за 1 месяц до начала квартала.</w:t>
            </w:r>
          </w:p>
          <w:p>
            <w:pPr>
              <w:widowControl w:val="0"/>
              <w:ind w:firstLine="458"/>
              <w:jc w:val="both"/>
              <w:rPr>
                <w:b/>
              </w:rPr>
            </w:pPr>
            <w:r>
              <w:rPr>
                <w:b/>
              </w:rPr>
              <w:t>Цена Договора:</w:t>
            </w:r>
          </w:p>
          <w:p>
            <w:pPr>
              <w:widowControl w:val="0"/>
              <w:ind w:firstLine="458"/>
              <w:jc w:val="both"/>
            </w:pPr>
            <w:r>
              <w:t xml:space="preserve">Цена услуг по Договору составляет: </w:t>
            </w:r>
          </w:p>
          <w:p>
            <w:pPr>
              <w:widowControl w:val="0"/>
              <w:ind w:firstLine="458"/>
              <w:jc w:val="both"/>
            </w:pPr>
            <w:r>
              <w:t xml:space="preserve">Цена услуг Исполнителя по Договору за календарный год составляет 44 254 176 (Сорок четыре миллиона двести пятьдесят четыре тысячи сто семьдесят шесть) рублей </w:t>
            </w:r>
            <w:r>
              <w:br/>
              <w:t>00 копеек, кроме того НДС 20 %, рассчитываемый в соответствии с законодательством Российской Федерации, в размере 8 850 835 (Восемь миллионов восемьсот пятьдесят тысяч восемьсот тридцать пять) рублей 20 копеек, всего с НДС 53 105 011 (Пятьдесят три миллиона сто пять тысяч одиннадцать) рублей 20 копеек.</w:t>
            </w:r>
          </w:p>
          <w:p>
            <w:pPr>
              <w:widowControl w:val="0"/>
              <w:ind w:firstLine="458"/>
              <w:jc w:val="both"/>
            </w:pPr>
            <w:r>
              <w:t xml:space="preserve">Цена услуг Заказчика по Договору за календарный год составляет 1 502 461 (Один миллион пятьсот две тысячи четыреста шестьдесят один) рубль 44 копейки, кроме того НДС 20 %, рассчитываемый в соответствии с законодательством Российской Федерации, в размере  300 492 (Триста тысяч четыреста девяносто два) рубля 29 копеек, всего с НДС </w:t>
            </w:r>
            <w:r>
              <w:br/>
              <w:t>1 802 953 (Один миллион восемьсот две тысячи девятьсот пятьдесят три) рубля 73 копейки.</w:t>
            </w:r>
          </w:p>
          <w:p>
            <w:pPr>
              <w:widowControl w:val="0"/>
              <w:ind w:firstLine="458"/>
              <w:jc w:val="both"/>
              <w:rPr>
                <w:b/>
              </w:rPr>
            </w:pPr>
            <w:r>
              <w:rPr>
                <w:b/>
              </w:rPr>
              <w:t>Срок оказания Услуг по Договору:</w:t>
            </w:r>
          </w:p>
          <w:p>
            <w:pPr>
              <w:widowControl w:val="0"/>
              <w:tabs>
                <w:tab w:val="left" w:pos="425"/>
                <w:tab w:val="left" w:pos="709"/>
                <w:tab w:val="left" w:pos="993"/>
              </w:tabs>
              <w:ind w:right="-1" w:firstLine="458"/>
              <w:contextualSpacing/>
              <w:jc w:val="both"/>
            </w:pPr>
            <w:r>
              <w:rPr>
                <w:lang w:eastAsia="x-none"/>
              </w:rPr>
              <w:t>Общий срок оказания Услуг по Договору: с 01.01.2026 по 31.12.2026.</w:t>
            </w:r>
          </w:p>
          <w:p>
            <w:pPr>
              <w:widowControl w:val="0"/>
              <w:ind w:firstLine="458"/>
              <w:jc w:val="both"/>
              <w:rPr>
                <w:i/>
              </w:rPr>
            </w:pPr>
            <w:r>
              <w:rPr>
                <w:b/>
              </w:rPr>
              <w:t>Срок действия Договора:</w:t>
            </w:r>
            <w:r>
              <w:rPr>
                <w:i/>
              </w:rPr>
              <w:t xml:space="preserve"> </w:t>
            </w:r>
          </w:p>
          <w:p>
            <w:pPr>
              <w:widowControl w:val="0"/>
              <w:ind w:firstLine="458"/>
              <w:jc w:val="both"/>
            </w:pPr>
            <w:r>
              <w:t xml:space="preserve">Договор вступает в силу с 01 января 2026 года и действует до прекращения надлежащим исполнением Сторонами основанных на Договоре обязательств. </w:t>
            </w:r>
          </w:p>
          <w:p>
            <w:pPr>
              <w:widowControl w:val="0"/>
              <w:ind w:firstLine="458"/>
              <w:jc w:val="both"/>
              <w:rPr>
                <w:b/>
                <w:bCs/>
              </w:rPr>
            </w:pPr>
            <w:r>
              <w:t xml:space="preserve">В случае, если за 30 (тридцать) календарных дней до даты окончания срока оказания услуг по Договору ни одна из Сторон не уведомила другую сторону о расторжении Договора, срок оказания услуг по Договору продлевается на 1 (один) календарный год, без </w:t>
            </w:r>
            <w:r>
              <w:lastRenderedPageBreak/>
              <w:t xml:space="preserve">ограничения количества таких пролонгаций. </w:t>
            </w:r>
          </w:p>
        </w:tc>
        <w:tc>
          <w:tcPr>
            <w:tcW w:w="1022" w:type="pct"/>
            <w:shd w:val="clear" w:color="auto" w:fill="auto"/>
          </w:tcPr>
          <w:p>
            <w:pPr>
              <w:pStyle w:val="a8"/>
              <w:tabs>
                <w:tab w:val="left" w:pos="316"/>
              </w:tabs>
              <w:ind w:left="32" w:hanging="32"/>
              <w:jc w:val="both"/>
              <w:rPr>
                <w:bCs/>
              </w:rPr>
            </w:pPr>
            <w:r>
              <w:rPr>
                <w:bCs/>
              </w:rPr>
              <w:lastRenderedPageBreak/>
              <w:t>1)</w:t>
            </w:r>
            <w:r>
              <w:rPr>
                <w:bCs/>
              </w:rPr>
              <w:tab/>
              <w:t xml:space="preserve">ПАО «Россети» -   Контролирующее лицо </w:t>
            </w:r>
          </w:p>
          <w:p>
            <w:pPr>
              <w:pStyle w:val="a8"/>
              <w:tabs>
                <w:tab w:val="left" w:pos="316"/>
              </w:tabs>
              <w:ind w:left="32" w:hanging="32"/>
              <w:jc w:val="both"/>
              <w:rPr>
                <w:bCs/>
              </w:rPr>
            </w:pPr>
            <w:r>
              <w:rPr>
                <w:bCs/>
              </w:rPr>
              <w:t>ПАО «Россети Волга», одновременно являющееся стороной сделки.</w:t>
            </w:r>
          </w:p>
          <w:p>
            <w:pPr>
              <w:pStyle w:val="a8"/>
              <w:tabs>
                <w:tab w:val="left" w:pos="316"/>
              </w:tabs>
              <w:ind w:left="32" w:hanging="32"/>
              <w:jc w:val="both"/>
              <w:rPr>
                <w:bCs/>
              </w:rPr>
            </w:pPr>
            <w:r>
              <w:rPr>
                <w:bCs/>
              </w:rPr>
              <w:lastRenderedPageBreak/>
              <w:t>2)</w:t>
            </w:r>
            <w:r>
              <w:rPr>
                <w:bCs/>
              </w:rPr>
              <w:tab/>
              <w:t>Мольский Алексей Валерьевич - член Совета директоров ПАО «Россети Волга», одновременно являющийся членом Правления ПАО «Россети»», являющегося стороной сделки.</w:t>
            </w:r>
          </w:p>
          <w:p>
            <w:pPr>
              <w:pStyle w:val="a8"/>
              <w:tabs>
                <w:tab w:val="left" w:pos="316"/>
              </w:tabs>
              <w:ind w:left="0"/>
              <w:jc w:val="both"/>
              <w:rPr>
                <w:bCs/>
              </w:rPr>
            </w:pPr>
            <w:r>
              <w:rPr>
                <w:bCs/>
              </w:rPr>
              <w:t>3)</w:t>
            </w:r>
            <w:r>
              <w:rPr>
                <w:bCs/>
              </w:rPr>
              <w:tab/>
              <w:t>Харитонов Владимир Вячеславович - член Совета директоров ПАО «Россети Волга», одновременно являющийся членом Правления ПАО «Россети»», являющегося стороной сделки.</w:t>
            </w:r>
          </w:p>
          <w:p>
            <w:pPr>
              <w:pStyle w:val="a8"/>
              <w:ind w:left="0"/>
              <w:jc w:val="both"/>
              <w:rPr>
                <w:bCs/>
              </w:rPr>
            </w:pPr>
            <w:r>
              <w:rPr>
                <w:bCs/>
              </w:rPr>
              <w:t>4)   Краинский Даниил Владимирович - член Совета директоров ПАО «Россети Волга», одновременно являющийся членом Правления ПАО «Россети»», являющегося стороной сделки.</w:t>
            </w:r>
          </w:p>
        </w:tc>
        <w:tc>
          <w:tcPr>
            <w:tcW w:w="530" w:type="pct"/>
            <w:shd w:val="clear" w:color="auto" w:fill="auto"/>
          </w:tcPr>
          <w:p>
            <w:pPr>
              <w:ind w:firstLine="34"/>
              <w:jc w:val="center"/>
            </w:pPr>
            <w:r>
              <w:lastRenderedPageBreak/>
              <w:t>от 08.08.2025 № МР6/1/164</w:t>
            </w:r>
          </w:p>
        </w:tc>
        <w:tc>
          <w:tcPr>
            <w:tcW w:w="628" w:type="pct"/>
            <w:shd w:val="clear" w:color="auto" w:fill="auto"/>
          </w:tcPr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Совет директоров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 xml:space="preserve">ПАО «Россети Волга» 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29.08.2025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(</w:t>
            </w:r>
            <w:r>
              <w:rPr>
                <w:rFonts w:eastAsia="Calibri"/>
                <w:shd w:val="clear" w:color="auto" w:fill="FFFFFF"/>
              </w:rPr>
              <w:t xml:space="preserve">протокол 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lastRenderedPageBreak/>
              <w:t xml:space="preserve">от 29.08.2025 </w:t>
            </w:r>
            <w:r>
              <w:rPr>
                <w:rFonts w:eastAsia="Calibri"/>
                <w:shd w:val="clear" w:color="auto" w:fill="FFFFFF"/>
              </w:rPr>
              <w:br/>
              <w:t>№ 4)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</w:p>
        </w:tc>
      </w:tr>
      <w:tr>
        <w:trPr>
          <w:trHeight w:val="558"/>
        </w:trPr>
        <w:tc>
          <w:tcPr>
            <w:tcW w:w="186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59" w:type="pct"/>
            <w:shd w:val="clear" w:color="auto" w:fill="auto"/>
          </w:tcPr>
          <w:p>
            <w:pPr>
              <w:keepNext/>
              <w:jc w:val="center"/>
              <w:outlineLvl w:val="0"/>
            </w:pPr>
            <w:proofErr w:type="spellStart"/>
            <w:r>
              <w:t>Сублицензионный</w:t>
            </w:r>
            <w:proofErr w:type="spellEnd"/>
            <w:r>
              <w:t xml:space="preserve"> договор </w:t>
            </w:r>
            <w:r>
              <w:br/>
              <w:t>№ 2591-000139/РЦДог08-1154-25</w:t>
            </w:r>
          </w:p>
        </w:tc>
        <w:tc>
          <w:tcPr>
            <w:tcW w:w="517" w:type="pct"/>
            <w:shd w:val="clear" w:color="auto" w:fill="auto"/>
          </w:tcPr>
          <w:p>
            <w:pPr>
              <w:keepNext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22.09.2025</w:t>
            </w:r>
          </w:p>
        </w:tc>
        <w:tc>
          <w:tcPr>
            <w:tcW w:w="1458" w:type="pct"/>
            <w:shd w:val="clear" w:color="auto" w:fill="auto"/>
          </w:tcPr>
          <w:p>
            <w:pPr>
              <w:widowControl w:val="0"/>
              <w:tabs>
                <w:tab w:val="left" w:pos="993"/>
              </w:tabs>
              <w:ind w:firstLine="458"/>
              <w:contextualSpacing/>
              <w:jc w:val="both"/>
              <w:rPr>
                <w:b/>
              </w:rPr>
            </w:pPr>
            <w:r>
              <w:rPr>
                <w:b/>
              </w:rPr>
              <w:t>Стороны Договора: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</w:pPr>
            <w:r>
              <w:rPr>
                <w:rFonts w:eastAsia="SimSun"/>
                <w:bCs/>
              </w:rPr>
              <w:t xml:space="preserve">ПАО «Россети Волга» </w:t>
            </w:r>
            <w:r>
              <w:t>(Сублицензиат);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</w:pPr>
            <w:r>
              <w:t>АО «Россети Цифра» (Лицензиат).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  <w:rPr>
                <w:b/>
              </w:rPr>
            </w:pPr>
            <w:r>
              <w:rPr>
                <w:b/>
              </w:rPr>
              <w:t xml:space="preserve">Предмет Договора: 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  <w:rPr>
                <w:lang w:eastAsia="x-none"/>
              </w:rPr>
            </w:pPr>
            <w:r>
              <w:rPr>
                <w:lang w:eastAsia="x-none"/>
              </w:rPr>
              <w:t>В соответствии с условиями Договора Лицензиат предоставляет Сублицензиату право использования программного обеспечения (далее Программы, ПО) в соответствии с Спецификацией (приложение 2 к настоящему отчету) в пределах и на условиях, установленных Договором, а Сублицензиат выплачивает Лицензиату обусловленное Договором вознаграждение.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  <w:rPr>
                <w:sz w:val="26"/>
                <w:szCs w:val="26"/>
                <w:lang w:eastAsia="x-none"/>
              </w:rPr>
            </w:pPr>
            <w:r>
              <w:rPr>
                <w:lang w:eastAsia="x-none"/>
              </w:rPr>
              <w:t>Права на использование программного обеспечения передаются на условиях простой (неисключительной) лицензии.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Способы использования Программ:</w:t>
            </w:r>
            <w:bookmarkStart w:id="2" w:name="_Hlk51594203"/>
            <w:bookmarkStart w:id="3" w:name="_Hlk51594474"/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Лицензиат </w:t>
            </w:r>
            <w:bookmarkEnd w:id="2"/>
            <w:r>
              <w:rPr>
                <w:lang w:eastAsia="x-none"/>
              </w:rPr>
              <w:t>предоставляет право использования Программ следующими способами и в следующих пределах</w:t>
            </w:r>
            <w:bookmarkEnd w:id="3"/>
            <w:r>
              <w:rPr>
                <w:lang w:eastAsia="x-none"/>
              </w:rPr>
              <w:t xml:space="preserve">: </w:t>
            </w:r>
          </w:p>
          <w:p>
            <w:pPr>
              <w:widowControl w:val="0"/>
              <w:tabs>
                <w:tab w:val="left" w:pos="600"/>
              </w:tabs>
              <w:ind w:firstLine="458"/>
              <w:jc w:val="both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  <w:t>устанавливать (инсталлировать) и удалять (деинсталлировать) ПО с компьютерных устройств и телекоммуникационных систем;</w:t>
            </w:r>
          </w:p>
          <w:p>
            <w:pPr>
              <w:widowControl w:val="0"/>
              <w:tabs>
                <w:tab w:val="left" w:pos="600"/>
              </w:tabs>
              <w:ind w:firstLine="458"/>
              <w:jc w:val="both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  <w:t>изготавливать резервные и архивные копии ПО;</w:t>
            </w:r>
          </w:p>
          <w:p>
            <w:pPr>
              <w:widowControl w:val="0"/>
              <w:tabs>
                <w:tab w:val="left" w:pos="600"/>
              </w:tabs>
              <w:ind w:firstLine="458"/>
              <w:jc w:val="both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  <w:t xml:space="preserve">воспроизводить ПО путем его запуска на компьютерных устройствах </w:t>
            </w:r>
            <w:r>
              <w:rPr>
                <w:lang w:eastAsia="x-none"/>
              </w:rPr>
              <w:br/>
              <w:t>и телекоммуникационных системах.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  <w:rPr>
                <w:b/>
              </w:rPr>
            </w:pPr>
            <w:r>
              <w:rPr>
                <w:b/>
              </w:rPr>
              <w:t xml:space="preserve">Цена Договора: </w:t>
            </w:r>
          </w:p>
          <w:p>
            <w:pPr>
              <w:widowControl w:val="0"/>
              <w:ind w:firstLine="458"/>
              <w:jc w:val="both"/>
            </w:pPr>
            <w:r>
              <w:t xml:space="preserve">Цена Договора (вознаграждение за право использования Программ) составляет </w:t>
            </w:r>
            <w:r>
              <w:br/>
              <w:t>88 493 730 (Восемьдесят восемь миллионов четыреста девяносто три тысячи семьсот тридцать) рублей 00 копеек. НДС не облагается в соответствии с подпунктом 26 пункта 2 статьи 149 Налогового кодекса Российской Федерации.</w:t>
            </w:r>
          </w:p>
          <w:p>
            <w:pPr>
              <w:widowControl w:val="0"/>
              <w:ind w:firstLine="458"/>
              <w:jc w:val="both"/>
              <w:rPr>
                <w:b/>
              </w:rPr>
            </w:pPr>
            <w:r>
              <w:rPr>
                <w:b/>
              </w:rPr>
              <w:t>Срок передачи Программ:</w:t>
            </w:r>
          </w:p>
          <w:p>
            <w:pPr>
              <w:widowControl w:val="0"/>
              <w:tabs>
                <w:tab w:val="left" w:pos="425"/>
                <w:tab w:val="left" w:pos="709"/>
              </w:tabs>
              <w:ind w:right="-1" w:firstLine="458"/>
              <w:contextualSpacing/>
              <w:jc w:val="both"/>
            </w:pPr>
            <w:r>
              <w:rPr>
                <w:lang w:eastAsia="x-none"/>
              </w:rPr>
              <w:t xml:space="preserve">Предоставление прав использования Программ осуществляется на основании заявок, направляемых Сублицензиатом в адрес </w:t>
            </w:r>
            <w:r>
              <w:rPr>
                <w:lang w:eastAsia="x-none"/>
              </w:rPr>
              <w:lastRenderedPageBreak/>
              <w:t>Лицензиата. Срок для направления заявок на предоставление прав использования ПО – не позднее 30.09.2025. Срок передачи права использования Программ – в течение 14 (Четырнадцати) дней с даты получения заявки</w:t>
            </w:r>
            <w:r>
              <w:t>.</w:t>
            </w:r>
          </w:p>
          <w:p>
            <w:pPr>
              <w:widowControl w:val="0"/>
              <w:tabs>
                <w:tab w:val="left" w:pos="425"/>
                <w:tab w:val="left" w:pos="709"/>
              </w:tabs>
              <w:ind w:right="-1" w:firstLine="458"/>
              <w:contextualSpacing/>
              <w:jc w:val="both"/>
              <w:rPr>
                <w:b/>
              </w:rPr>
            </w:pPr>
            <w:r>
              <w:rPr>
                <w:b/>
              </w:rPr>
              <w:t>Срок действия прав использования Программ:</w:t>
            </w:r>
          </w:p>
          <w:p>
            <w:pPr>
              <w:widowControl w:val="0"/>
              <w:tabs>
                <w:tab w:val="left" w:pos="425"/>
                <w:tab w:val="left" w:pos="709"/>
                <w:tab w:val="left" w:pos="993"/>
              </w:tabs>
              <w:ind w:right="-1"/>
              <w:contextualSpacing/>
              <w:jc w:val="both"/>
            </w:pPr>
            <w:r>
              <w:rPr>
                <w:b/>
              </w:rPr>
              <w:tab/>
            </w:r>
            <w:r>
              <w:t>Срок действия прав использования Программ указан в Спецификации (приложение 2 к настоящему отчету).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  <w:rPr>
                <w:i/>
              </w:rPr>
            </w:pPr>
            <w:r>
              <w:rPr>
                <w:b/>
              </w:rPr>
              <w:t>Срок действия Договора</w:t>
            </w:r>
            <w:r>
              <w:rPr>
                <w:i/>
              </w:rPr>
              <w:t xml:space="preserve">: 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  <w:rPr>
                <w:b/>
              </w:rPr>
            </w:pPr>
            <w:r>
              <w:t xml:space="preserve">Договор вступает в силу с даты его подписания и действует до полного исполнения Сторонами всех обязательств по нему. </w:t>
            </w:r>
          </w:p>
        </w:tc>
        <w:tc>
          <w:tcPr>
            <w:tcW w:w="1022" w:type="pct"/>
            <w:shd w:val="clear" w:color="auto" w:fill="auto"/>
          </w:tcPr>
          <w:p>
            <w:pPr>
              <w:pStyle w:val="a8"/>
              <w:numPr>
                <w:ilvl w:val="0"/>
                <w:numId w:val="7"/>
              </w:numPr>
              <w:tabs>
                <w:tab w:val="left" w:pos="316"/>
              </w:tabs>
              <w:ind w:left="32" w:hanging="32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ПАО «Россети» - </w:t>
            </w:r>
            <w:r>
              <w:t xml:space="preserve"> </w:t>
            </w:r>
            <w:r>
              <w:rPr>
                <w:bCs/>
              </w:rPr>
              <w:t>контролирующее лицо ПАО «Россети Волга» и АО «Россети Цифра».</w:t>
            </w:r>
          </w:p>
          <w:p>
            <w:pPr>
              <w:pStyle w:val="a8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bCs/>
              </w:rPr>
            </w:pPr>
            <w:r>
              <w:rPr>
                <w:bCs/>
              </w:rPr>
              <w:t>Харитонов Владимир Вячеславович</w:t>
            </w:r>
            <w:r>
              <w:t xml:space="preserve"> - </w:t>
            </w:r>
            <w:r>
              <w:rPr>
                <w:bCs/>
              </w:rPr>
              <w:t>член Совета директоров ПАО «Россети Волга», одновременно являющийся членом Совета директоров АО «Россети Цифра».</w:t>
            </w:r>
          </w:p>
          <w:p>
            <w:pPr>
              <w:pStyle w:val="a8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bCs/>
              </w:rPr>
            </w:pPr>
            <w:r>
              <w:rPr>
                <w:bCs/>
              </w:rPr>
              <w:t>Мольский Алексей Валерьевич- член Совета директоров ПАО «Россети Волга», одновременно являющийся членом Совета директоров АО «Россети Цифра».</w:t>
            </w:r>
          </w:p>
          <w:p>
            <w:pPr>
              <w:pStyle w:val="a8"/>
              <w:jc w:val="both"/>
              <w:rPr>
                <w:bCs/>
              </w:rPr>
            </w:pPr>
          </w:p>
        </w:tc>
        <w:tc>
          <w:tcPr>
            <w:tcW w:w="530" w:type="pct"/>
            <w:shd w:val="clear" w:color="auto" w:fill="auto"/>
          </w:tcPr>
          <w:p>
            <w:pPr>
              <w:ind w:firstLine="34"/>
              <w:jc w:val="center"/>
            </w:pPr>
            <w:r>
              <w:t>от 28.08.2025 № МР6/6/186</w:t>
            </w:r>
          </w:p>
        </w:tc>
        <w:tc>
          <w:tcPr>
            <w:tcW w:w="628" w:type="pct"/>
            <w:shd w:val="clear" w:color="auto" w:fill="auto"/>
          </w:tcPr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Совет директоров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 xml:space="preserve">ПАО «Россети Волга» 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17.09.2025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(</w:t>
            </w:r>
            <w:r>
              <w:rPr>
                <w:rFonts w:eastAsia="Calibri"/>
                <w:shd w:val="clear" w:color="auto" w:fill="FFFFFF"/>
              </w:rPr>
              <w:t xml:space="preserve">протокол 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 xml:space="preserve">от 19.09.2025 </w:t>
            </w:r>
            <w:r>
              <w:rPr>
                <w:rFonts w:eastAsia="Calibri"/>
                <w:shd w:val="clear" w:color="auto" w:fill="FFFFFF"/>
              </w:rPr>
              <w:br/>
              <w:t>№ 6)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</w:p>
        </w:tc>
      </w:tr>
      <w:tr>
        <w:trPr>
          <w:trHeight w:val="558"/>
        </w:trPr>
        <w:tc>
          <w:tcPr>
            <w:tcW w:w="186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9" w:type="pct"/>
            <w:shd w:val="clear" w:color="auto" w:fill="auto"/>
          </w:tcPr>
          <w:p>
            <w:pPr>
              <w:keepNext/>
              <w:jc w:val="center"/>
              <w:outlineLvl w:val="0"/>
            </w:pPr>
            <w:r>
              <w:t>Дополнительное</w:t>
            </w:r>
            <w:r>
              <w:rPr>
                <w:rStyle w:val="ae"/>
              </w:rPr>
              <w:footnoteReference w:id="3"/>
            </w:r>
          </w:p>
          <w:p>
            <w:pPr>
              <w:keepNext/>
              <w:jc w:val="center"/>
              <w:outlineLvl w:val="0"/>
            </w:pPr>
            <w:r>
              <w:t xml:space="preserve">соглашение к договору о внесении вклада в имущество юридического лица, не увеличивающего его уставный капитал и не изменяющего номинальную стоимость акций, источником которого является субсидия из федерального бюджета </w:t>
            </w:r>
            <w:r>
              <w:br/>
              <w:t>от 22.05.2025 №0000000002224Р070002/1367837</w:t>
            </w:r>
          </w:p>
          <w:p>
            <w:pPr>
              <w:keepNext/>
              <w:jc w:val="center"/>
              <w:outlineLvl w:val="0"/>
            </w:pPr>
            <w:r>
              <w:t>№0000000002224Р070002/1367837.1</w:t>
            </w:r>
          </w:p>
        </w:tc>
        <w:tc>
          <w:tcPr>
            <w:tcW w:w="517" w:type="pct"/>
            <w:shd w:val="clear" w:color="auto" w:fill="auto"/>
          </w:tcPr>
          <w:p>
            <w:pPr>
              <w:keepNext/>
              <w:jc w:val="center"/>
              <w:outlineLvl w:val="0"/>
              <w:rPr>
                <w:bCs/>
              </w:rPr>
            </w:pPr>
            <w:r>
              <w:rPr>
                <w:bCs/>
              </w:rPr>
              <w:t>16.10.2025</w:t>
            </w:r>
          </w:p>
        </w:tc>
        <w:tc>
          <w:tcPr>
            <w:tcW w:w="1458" w:type="pct"/>
            <w:shd w:val="clear" w:color="auto" w:fill="auto"/>
          </w:tcPr>
          <w:p>
            <w:pPr>
              <w:ind w:firstLine="458"/>
              <w:contextualSpacing/>
              <w:jc w:val="both"/>
              <w:rPr>
                <w:b/>
              </w:rPr>
            </w:pPr>
            <w:r>
              <w:rPr>
                <w:b/>
              </w:rPr>
              <w:t>Стороны Дополнительного соглашения:</w:t>
            </w:r>
          </w:p>
          <w:p>
            <w:pPr>
              <w:ind w:firstLine="458"/>
              <w:jc w:val="both"/>
            </w:pPr>
            <w:r>
              <w:rPr>
                <w:rFonts w:eastAsia="SimSun"/>
                <w:bCs/>
              </w:rPr>
              <w:t xml:space="preserve">ПАО «Россети» </w:t>
            </w:r>
            <w:r>
              <w:t>(Акционер);</w:t>
            </w:r>
          </w:p>
          <w:p>
            <w:pPr>
              <w:ind w:firstLine="458"/>
              <w:jc w:val="both"/>
            </w:pPr>
            <w:r>
              <w:t>ПАО «Россети Волга» (Общество).</w:t>
            </w:r>
          </w:p>
          <w:p>
            <w:pPr>
              <w:tabs>
                <w:tab w:val="left" w:pos="1134"/>
              </w:tabs>
              <w:ind w:firstLine="458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Предмет и цена: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Внесение изменений в договор о внесении вклада в имущество юридического лица, не увеличивающего его уставный капитал и не изменяющего номинальную стоимость акций, источником которого является субсидия из федерального бюджета, от 22.05.2025 № 0000000002224Р070002/1367837 (далее – Договор), в том числе: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Внести в Договор следующие изменения:</w:t>
            </w:r>
          </w:p>
          <w:p>
            <w:pPr>
              <w:tabs>
                <w:tab w:val="left" w:pos="889"/>
              </w:tabs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1.1.</w:t>
            </w:r>
            <w:r>
              <w:rPr>
                <w:rFonts w:eastAsia="Calibri"/>
              </w:rPr>
              <w:tab/>
              <w:t>В разделе I «Предмет Договора»: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1.1.1. абзац 1 пункта 1.1. изложить в следующей редакции: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«1.1.  Предметом настоящего Договора является внесение Акционером вклада в имущество Общества, не увеличивающего его уставный капитал и не изменяющего номинальную стоимость акций Общества, источником которого</w:t>
            </w:r>
            <w:r>
              <w:rPr>
                <w:rFonts w:eastAsia="Calibri"/>
                <w:sz w:val="25"/>
                <w:szCs w:val="25"/>
              </w:rPr>
              <w:t xml:space="preserve"> </w:t>
            </w:r>
            <w:r>
              <w:rPr>
                <w:rFonts w:eastAsia="Calibri"/>
              </w:rPr>
              <w:t xml:space="preserve">является субсидия из </w:t>
            </w:r>
            <w:r>
              <w:rPr>
                <w:rFonts w:eastAsia="Calibri"/>
              </w:rPr>
              <w:lastRenderedPageBreak/>
              <w:t>федерального бюджета, предоставленная Акционеру в соответствии с Бюджетным кодексом Российской Федерации, Федеральным законом от 30.11.2024 № 419-ФЗ «О федеральном бюджете на 2025 год и на плановый период 2026 и 2027 годов» в редакции Федерального закона от 24.06.2025 № 152-ФЗ «О внесении изменений в Федеральный закон «О федеральном бюджете на 2025 год и на плановый период 2026 и 2027 годов», постановлением Правительства Российской Федерации № 1780 от 25.10.2023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услуг», решением о порядке предоставления субсидии № 24-62116-01558-Р от 28.02.2025, решением о порядке предоставления субсидии № 24-62116-01558-Р от 21.07.2025, а также Соглашением (далее – Вклад, субсидия), в целях:»;</w:t>
            </w:r>
          </w:p>
          <w:p>
            <w:pPr>
              <w:tabs>
                <w:tab w:val="left" w:pos="1021"/>
              </w:tabs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1.1.2.</w:t>
            </w:r>
            <w:r>
              <w:rPr>
                <w:rFonts w:eastAsia="Calibri"/>
              </w:rPr>
              <w:tab/>
              <w:t xml:space="preserve"> пункт 1.5. изложить в следующей редакции: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«Вклад вносится Акционером в следующие сроки: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2026 году - не позднее 31.12.2026 года;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2027 году - не позднее 31.12.2027 года.».</w:t>
            </w:r>
          </w:p>
          <w:p>
            <w:pPr>
              <w:tabs>
                <w:tab w:val="left" w:pos="1036"/>
              </w:tabs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1.2.</w:t>
            </w:r>
            <w:r>
              <w:rPr>
                <w:rFonts w:eastAsia="Calibri"/>
              </w:rPr>
              <w:tab/>
              <w:t>В разделе II «Финансовое обеспечение внесения Вклада»:</w:t>
            </w:r>
          </w:p>
          <w:p>
            <w:pPr>
              <w:tabs>
                <w:tab w:val="left" w:pos="1036"/>
              </w:tabs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1.2.1.</w:t>
            </w:r>
            <w:r>
              <w:rPr>
                <w:rFonts w:eastAsia="Calibri"/>
              </w:rPr>
              <w:tab/>
              <w:t>абзац 1 пункта 2.1. изложить в следующей редакции:</w:t>
            </w:r>
          </w:p>
          <w:p>
            <w:pPr>
              <w:tabs>
                <w:tab w:val="left" w:pos="1111"/>
              </w:tabs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«2.1.</w:t>
            </w:r>
            <w:r>
              <w:rPr>
                <w:rFonts w:eastAsia="Calibri"/>
              </w:rPr>
              <w:tab/>
              <w:t xml:space="preserve">Вклад вносится Акционером на цели, указанные в разделе I настоящего Договора, в размере 2 251 743 550 (Два миллиарда двести пятьдесят один миллион семьсот сорок три тысячи пятьсот пятьдесят) рублей 92 копейки, определенном решением Совета директоров ПАО «Россети» от 16.07.2025 (протокол от 17.07.2025 № 696), в пределах объема субсидии, полученной Акционером в </w:t>
            </w:r>
            <w:r>
              <w:rPr>
                <w:rFonts w:eastAsia="Calibri"/>
              </w:rPr>
              <w:lastRenderedPageBreak/>
              <w:t>соответствии с Соглашением по кодам классификации расходов федерального бюджета (далее – коды БК), в том числе:»;</w:t>
            </w:r>
          </w:p>
          <w:p>
            <w:pPr>
              <w:tabs>
                <w:tab w:val="left" w:pos="889"/>
              </w:tabs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1.2.2.</w:t>
            </w:r>
            <w:r>
              <w:rPr>
                <w:rFonts w:eastAsia="Calibri"/>
              </w:rPr>
              <w:tab/>
              <w:t>абзац 2 пункта 2.1 Договора исключить.</w:t>
            </w:r>
          </w:p>
          <w:p>
            <w:pPr>
              <w:ind w:firstLine="458"/>
              <w:jc w:val="both"/>
            </w:pPr>
            <w:r>
              <w:t>Цена Договора с учетом Дополнительного соглашения состоит из размера вклада в имущество Общества, не увеличивающего его уставный капитал и не изменяющего номинальную стоимость акций Общества, в сумме 2 251 743 550 (Два миллиарда двести пятьдесят один миллион семьсот сорок три тысячи пятьсот пятьдесят) рублей 92 копейки.</w:t>
            </w:r>
          </w:p>
          <w:p>
            <w:pPr>
              <w:ind w:firstLine="458"/>
              <w:jc w:val="both"/>
              <w:rPr>
                <w:i/>
              </w:rPr>
            </w:pPr>
            <w:r>
              <w:rPr>
                <w:b/>
              </w:rPr>
              <w:t xml:space="preserve">Срок действия Дополнительного соглашения: </w:t>
            </w:r>
          </w:p>
          <w:p>
            <w:pPr>
              <w:ind w:right="-1" w:firstLine="458"/>
              <w:contextualSpacing/>
              <w:jc w:val="both"/>
            </w:pPr>
            <w:r>
              <w:t>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Договору.</w:t>
            </w:r>
          </w:p>
          <w:p>
            <w:pPr>
              <w:ind w:right="-1" w:firstLine="458"/>
              <w:contextualSpacing/>
              <w:jc w:val="both"/>
            </w:pPr>
          </w:p>
          <w:p>
            <w:pPr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Существенные условия Договора</w:t>
            </w:r>
            <w:r>
              <w:t>: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Стороны Договора: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ПАО «Россети Волга» (Общество);</w:t>
            </w:r>
          </w:p>
          <w:p>
            <w:pPr>
              <w:ind w:left="-106" w:right="-249" w:firstLine="570"/>
              <w:contextualSpacing/>
              <w:jc w:val="both"/>
              <w:rPr>
                <w:bCs/>
              </w:rPr>
            </w:pPr>
            <w:r>
              <w:rPr>
                <w:bCs/>
              </w:rPr>
              <w:t>ПАО «Россети» (Акционер).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Предмет Договора: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Предметом договора является внесение Акционером вклада в имущество Общества, не увеличивающего его уставный капитал и не изменяющего номинальную стоимость акций Общества (далее – Вклад), источником которого является субсидия из федерального бюджета, предоставленная Акционеру в соответствии с Бюджетным кодексом Российской Федерации, Федеральным законом от 30.11.2024 № 419-ФЗ «О федеральном бюджете на 2025 год и на плановый период 2026 и 2027 годов», постановлением Правительства Российской Федерации № 1780 от 25.10.2023 «Об утверждении Правил предоставления из бюджетов бюджетной системы Российской Федерации субсидий, в том числе грантов в </w:t>
            </w:r>
            <w:r>
              <w:rPr>
                <w:bCs/>
              </w:rPr>
              <w:lastRenderedPageBreak/>
              <w:t>форме субсидий, юридическим лицам, индивидуальным предпринимателям, а также физическим лицам – производителям товаров, работ, услуг», решением о порядке предоставления субсидии № 24-62116-01558-Р от 28.02.2025, а также соглашением (договором) о предоставлении ПАО «Россети» из федерального бюджета субсидии в виде вклада в имущество юридического лица, не увеличивающего его уставный капитал от 29.02.2024 № 022-11-2024-002 с учетом изменений и дополнений, внесенных дополнительным соглашением от 28.02.2025 № 022-11-2024-002/1 (далее - Соглашение), в целях: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достижения результата (выполнения мероприятия) федерального проекта «Гарантированное обеспечение доступной электроэнергией» государственной программы Российской Федерации «Развитие энергетики»;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финансового обеспечения (возмещения) затрат Общества по поддержанию надежного обеспечения потребителей электрической энергии посредством реализации мероприятий по повышению надежности электросетевого комплекса путем приобретения необходимых для этого товаров, работ, услуг.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Общество обязуется завершить реализацию мероприятий по повышению надежности в электросетевом комплексе, затраты на которые финансировались за счет Вклада, не позднее 31.12.2027.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Средства Вклада направляются только на реализацию мероприятий, включенных в программы повышения надежности электросетевого комплекса, согласованные с Минэнерго России и утвержденные руководством субъекта Российской Федерации согласно Договору.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Вклад вносится Акционером в следующие сроки: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2025 году - не позднее 31.12.2025;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2026 году - не позднее 31.12.2026;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в 2027 году - не позднее 31.12.2027.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Вклад, внесенный в имущество Общества, не изменяет размер доли Акционера, не увеличивает уставный капитал Общества и не изменяет номинальную стоимость акций.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Цена Договора: 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Цена Договора состоит из размера Вклада в сумме 2 335 435 530 (Два миллиарда триста тридцать пять миллионов четыреста тридцать пять тысяч пятьсот тридцать) рублей 08 копеек.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внесения Вклада: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Вклад вносится Акционером на цели, указанные в разделе I Договора, в размере 2 335 435 530 (Два миллиарда триста тридцать пять миллионов четыреста тридцать пять тысяч пятьсот тридцать) рублей 08 копеек, определенном решением Совета директоров ПАО «Россети» от 28.02.2025 (протокол от 28.02.2025 № 676), в пределах объема субсидии, полученной Акционером в соответствии с Соглашением по кодам классификации расходов федерального бюджета (далее – коды БК), в том числе: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2025 году 83 691 979 (Восемьдесят три миллиона шестьсот девяносто одна тысяча девятьсот семьдесят девять) рублей 16 копеек - по коду БК 022 0402 30 2 01 62116 812;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2026 году 1 389 751 020 (Один миллиард триста восемьдесят девять миллионов семьсот пятьдесят одна тысяча двадцать) рублей 84 копейки - по коду БК 022 0402 30 2 01 62116 812;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 2027 году 861 992 530 (Восемьсот шестьдесят один миллион девятьсот девяносто две тысячи пятьсот тридцать) рублей 08 копеек - по коду БК 022 0402 30 2 01 62116 812.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Идентификатор государственного контракта (далее - ИГК) по Соглашению: ИГК № 0000000002224P070002.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Иные существенные условия Договора/порядок их определения: 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Вклад вносится в имущество Общества на финансовое обеспечение (возмещение) затрат Общества, источником финансового обеспечения которых является Вклад согласно Договору.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Внесение Вклада осуществляется в соответствии с бюджетным законодательством Российской Федерации.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Условием внесения Вклада является согласие Общества на осуществление в отношении его контроля за соблюдением целей, условий и порядка внесения Вклада, в том числе в части достижения результатов внесения Вклада, главным распорядителем бюджетных средств, а также органами государственного (муниципального) финансового контроля в соответствии со статьями 268.1 и 269.2 Бюджетного кодекса Российской Федерации.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Акционер вправе принимать решение об изменении условий Договора, включая уменьшение размера Вклада, а также увеличение размера Вклада, в случае соответствующих изменений размера предоставляемой Акционеру субсидии в рамках Соглашения.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В случае установления Акционером или получения от Минэнерго России, органа государственного финансового контроля информации о факте(ах) нарушения Обществом условий внесения Вклада, установленных Договором, в том числе </w:t>
            </w:r>
            <w:proofErr w:type="spellStart"/>
            <w:r>
              <w:rPr>
                <w:bCs/>
              </w:rPr>
              <w:t>недостижения</w:t>
            </w:r>
            <w:proofErr w:type="spellEnd"/>
            <w:r>
              <w:rPr>
                <w:bCs/>
              </w:rPr>
              <w:t xml:space="preserve"> значений результатов внесения Вклада, показателей, установленных в соответствии с Договором, Акционер направляет Обществу требование об обеспечении возврата Вклада, в связи с чем Общество обязуется: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устранять факт(ы) нарушения условий, установленных при внесении Вклада, в сроки, определенные в указанном требовании;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возвращать Вклад в размере и в сроки, определенные в указанном требовании;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- уплатить штрафные санкции, в случае принятия Акционером к Обществу штрафных </w:t>
            </w:r>
            <w:r>
              <w:rPr>
                <w:bCs/>
              </w:rPr>
              <w:lastRenderedPageBreak/>
              <w:t>санкций в соответствии с Договором, в срок, установленный Акционером в требовании об уплате штрафных санкций.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Общество обязуется: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возвращать неиспользованный остаток Вклада в случае отсутствия решения Минэнерго России об использовании остатка субсидии, не использованного на начало очередного финансового года, на цели, указанные в разделе I Договора, в срок до 31.12.2028;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обеспечить достижение значений результатов внесения Вклада, характеристик, устанавливаемых в соответствии с Договором, и соблюдение сроков их достижения;</w:t>
            </w:r>
          </w:p>
          <w:p>
            <w:pPr>
              <w:ind w:firstLine="464"/>
              <w:contextualSpacing/>
              <w:jc w:val="both"/>
              <w:rPr>
                <w:bCs/>
              </w:rPr>
            </w:pPr>
            <w:r>
              <w:rPr>
                <w:bCs/>
              </w:rPr>
              <w:t>- обеспечить реализацию плана мероприятий по достижению результатов внесения Вклада (контрольных точек), устанавливаемого в соответствии с Договором.</w:t>
            </w:r>
          </w:p>
          <w:p>
            <w:pPr>
              <w:ind w:firstLine="464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Срок действия Договора: </w:t>
            </w:r>
          </w:p>
          <w:p>
            <w:pPr>
              <w:ind w:firstLine="464"/>
              <w:contextualSpacing/>
              <w:jc w:val="both"/>
              <w:rPr>
                <w:b/>
              </w:rPr>
            </w:pPr>
            <w:r>
              <w:rPr>
                <w:bCs/>
              </w:rPr>
              <w:t>Договор вступает в силу с даты его подписания лицами, имеющими право действовать от имени каждой из Сторон, но не ранее получения Акционером средств субсидии, указанных в пункте 2.1 Договора, и действует до полного исполнения Сторонами своих обязательств по Договору.</w:t>
            </w:r>
            <w:r>
              <w:rPr>
                <w:b/>
              </w:rPr>
              <w:t xml:space="preserve"> </w:t>
            </w:r>
          </w:p>
        </w:tc>
        <w:tc>
          <w:tcPr>
            <w:tcW w:w="1022" w:type="pct"/>
            <w:shd w:val="clear" w:color="auto" w:fill="auto"/>
          </w:tcPr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lastRenderedPageBreak/>
              <w:t>1)</w:t>
            </w:r>
            <w:r>
              <w:rPr>
                <w:bCs/>
              </w:rPr>
              <w:tab/>
              <w:t xml:space="preserve">ПАО «Россети» -   Контролирующее лицо </w:t>
            </w:r>
          </w:p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t>ПАО «Россети Волга», одновременно являющееся стороной сделки. Доля участия ПАО «Россети» в уставном капитале эмитента (ПАО «Россети Волга»): 68,47%</w:t>
            </w:r>
          </w:p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t>2)</w:t>
            </w:r>
            <w:r>
              <w:rPr>
                <w:bCs/>
              </w:rPr>
              <w:tab/>
              <w:t xml:space="preserve">Мольский Алексей Валерьевич - член Совета директоров ПАО «Россети Волга», одновременно являющийся членом Правления ПАО «Россети», являющегося стороной сделки. Доля участия </w:t>
            </w:r>
            <w:proofErr w:type="spellStart"/>
            <w:r>
              <w:rPr>
                <w:bCs/>
              </w:rPr>
              <w:t>Мольского</w:t>
            </w:r>
            <w:proofErr w:type="spellEnd"/>
            <w:r>
              <w:rPr>
                <w:bCs/>
              </w:rPr>
              <w:t xml:space="preserve"> Алексея Валерьевича в уставном капитале эмитента (ПАО «Россети Волга») и контрагента (ПАО «Россети»): доли не имеет.</w:t>
            </w:r>
          </w:p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t>3)</w:t>
            </w:r>
            <w:r>
              <w:rPr>
                <w:bCs/>
              </w:rPr>
              <w:tab/>
              <w:t xml:space="preserve">Харитонов Владимир Вячеславович - член Совета директоров ПАО «Россети </w:t>
            </w:r>
            <w:r>
              <w:rPr>
                <w:bCs/>
              </w:rPr>
              <w:lastRenderedPageBreak/>
              <w:t>Волга», одновременно являющийся членом Правления ПАО «Россети», являющегося стороной сделки. Доля участия Харитонова Владимира Вячеславовича в уставном капитале эмитента (ПАО «Россети Волга») и Контрагента (ПАО «Россети»): доли не имеет.</w:t>
            </w:r>
          </w:p>
          <w:p>
            <w:pPr>
              <w:ind w:left="32"/>
              <w:jc w:val="both"/>
              <w:rPr>
                <w:bCs/>
              </w:rPr>
            </w:pPr>
            <w:r>
              <w:rPr>
                <w:bCs/>
              </w:rPr>
              <w:t xml:space="preserve">4)  Краинский Даниил Владимирович - член Совета директоров ПАО «Россети Волга», одновременно являющийся членом Правления ПАО «Россети», являющегося стороной сделки. Доля участия </w:t>
            </w:r>
            <w:proofErr w:type="spellStart"/>
            <w:r>
              <w:rPr>
                <w:bCs/>
              </w:rPr>
              <w:t>Краинского</w:t>
            </w:r>
            <w:proofErr w:type="spellEnd"/>
            <w:r>
              <w:rPr>
                <w:bCs/>
              </w:rPr>
              <w:t xml:space="preserve"> Даниила Владимировича  в уставном капитале эмитента (ПАО «Россети Волга») и контрагента (ПАО «Россети»): доли не имеет.</w:t>
            </w:r>
          </w:p>
        </w:tc>
        <w:tc>
          <w:tcPr>
            <w:tcW w:w="530" w:type="pct"/>
            <w:shd w:val="clear" w:color="auto" w:fill="auto"/>
          </w:tcPr>
          <w:p>
            <w:pPr>
              <w:ind w:firstLine="34"/>
              <w:jc w:val="center"/>
            </w:pPr>
            <w:r>
              <w:lastRenderedPageBreak/>
              <w:t>от 09.09.2025 № МР6/1/196</w:t>
            </w:r>
          </w:p>
        </w:tc>
        <w:tc>
          <w:tcPr>
            <w:tcW w:w="628" w:type="pct"/>
            <w:shd w:val="clear" w:color="auto" w:fill="auto"/>
          </w:tcPr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В соответствии с подпунктом 62 «а» пункта 15.1 статьи 15 Устава</w:t>
            </w:r>
            <w:r>
              <w:rPr>
                <w:rFonts w:eastAsia="Calibri"/>
                <w:bCs/>
                <w:shd w:val="clear" w:color="auto" w:fill="FFFFFF"/>
              </w:rPr>
              <w:br/>
              <w:t xml:space="preserve"> ПАО «Россети </w:t>
            </w:r>
            <w:r>
              <w:rPr>
                <w:rFonts w:eastAsia="Calibri"/>
                <w:bCs/>
                <w:shd w:val="clear" w:color="auto" w:fill="FFFFFF"/>
              </w:rPr>
              <w:lastRenderedPageBreak/>
              <w:t xml:space="preserve">Волга» Дополнительное соглашение одобрено решением Совета директоров </w:t>
            </w:r>
            <w:r>
              <w:rPr>
                <w:rFonts w:eastAsia="Calibri"/>
                <w:bCs/>
                <w:shd w:val="clear" w:color="auto" w:fill="FFFFFF"/>
              </w:rPr>
              <w:br/>
              <w:t>ПАО «Россети Волга» от 17.09.2026</w:t>
            </w:r>
            <w:r>
              <w:rPr>
                <w:rFonts w:eastAsia="Calibri"/>
                <w:bCs/>
                <w:shd w:val="clear" w:color="auto" w:fill="FFFFFF"/>
              </w:rPr>
              <w:br/>
              <w:t>(протокол от 19.09.2025 № 6)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</w:p>
        </w:tc>
      </w:tr>
      <w:tr>
        <w:trPr>
          <w:trHeight w:val="558"/>
        </w:trPr>
        <w:tc>
          <w:tcPr>
            <w:tcW w:w="186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59" w:type="pct"/>
            <w:shd w:val="clear" w:color="auto" w:fill="auto"/>
          </w:tcPr>
          <w:p>
            <w:pPr>
              <w:keepNext/>
              <w:jc w:val="center"/>
              <w:outlineLvl w:val="0"/>
            </w:pPr>
            <w:r>
              <w:t xml:space="preserve">Договор возмездного оказания услуг </w:t>
            </w:r>
          </w:p>
          <w:p>
            <w:pPr>
              <w:keepNext/>
              <w:jc w:val="center"/>
              <w:outlineLvl w:val="0"/>
            </w:pPr>
            <w:r>
              <w:t>№ 2591-000704/РЦ-Дог099-2222-25</w:t>
            </w:r>
          </w:p>
        </w:tc>
        <w:tc>
          <w:tcPr>
            <w:tcW w:w="517" w:type="pct"/>
            <w:shd w:val="clear" w:color="auto" w:fill="auto"/>
          </w:tcPr>
          <w:p>
            <w:pPr>
              <w:keepNext/>
              <w:jc w:val="center"/>
              <w:outlineLvl w:val="0"/>
              <w:rPr>
                <w:bCs/>
              </w:rPr>
            </w:pPr>
            <w:r>
              <w:rPr>
                <w:bCs/>
              </w:rPr>
              <w:t>10.12.2025</w:t>
            </w:r>
          </w:p>
        </w:tc>
        <w:tc>
          <w:tcPr>
            <w:tcW w:w="1458" w:type="pct"/>
            <w:shd w:val="clear" w:color="auto" w:fill="auto"/>
          </w:tcPr>
          <w:p>
            <w:pPr>
              <w:ind w:firstLine="458"/>
              <w:contextualSpacing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Стороны Договора: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SimSun"/>
                <w:bCs/>
              </w:rPr>
              <w:t xml:space="preserve">ПАО «Россети Волга» </w:t>
            </w:r>
            <w:r>
              <w:rPr>
                <w:rFonts w:eastAsia="Calibri"/>
              </w:rPr>
              <w:t>(Заказчик);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АО «Россети Цифра» (Исполнитель).</w:t>
            </w:r>
          </w:p>
          <w:p>
            <w:pPr>
              <w:ind w:firstLine="458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 xml:space="preserve">Предмет Договора: 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 Договору Исполнитель по Обращениям Заказчика обязуется оказать Заказчику услуги по изменению и доработке функциональности подсистем АСУП </w:t>
            </w:r>
            <w:r>
              <w:rPr>
                <w:rFonts w:eastAsia="Calibri"/>
              </w:rPr>
              <w:br/>
              <w:t>ПАО «Россети Волга» (далее – Услуги), а Заказчик обязуется принять и оплатить оказанные Услуги.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Состав Услуг, порядок их оказания, отчётные документы приведены в Техническом задании (приложение 3 к настоящему отчету). </w:t>
            </w:r>
          </w:p>
          <w:p>
            <w:pPr>
              <w:ind w:firstLine="458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Цена Договора: </w:t>
            </w:r>
          </w:p>
          <w:p>
            <w:pPr>
              <w:ind w:firstLine="45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Цена Услуг по</w:t>
            </w:r>
            <w:bookmarkStart w:id="4" w:name="undefined"/>
            <w:bookmarkEnd w:id="4"/>
            <w:r>
              <w:rPr>
                <w:rFonts w:eastAsia="Calibri"/>
              </w:rPr>
              <w:t xml:space="preserve"> Договору составляет не более 252 000 000 (Двухсот пятидесяти двух миллионов) рублей 00 копеек, кроме того НДС (20%) в размере не более 50 400 000 (Пятидесяти миллионов четырехсот тысяч) рублей 00 копеек. Всего с учетом НДС цена Услуг по Договору составляет не более </w:t>
            </w:r>
            <w:r>
              <w:rPr>
                <w:rFonts w:eastAsia="Calibri"/>
              </w:rPr>
              <w:br/>
              <w:t xml:space="preserve">302 400 000 (Трехсот двух миллионов четырехсот тысяч) рублей 00 копеек. </w:t>
            </w:r>
          </w:p>
          <w:p>
            <w:pPr>
              <w:ind w:firstLine="458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Срок оказания Услуг по Договору:</w:t>
            </w:r>
          </w:p>
          <w:p>
            <w:pPr>
              <w:tabs>
                <w:tab w:val="left" w:pos="425"/>
                <w:tab w:val="left" w:pos="709"/>
                <w:tab w:val="left" w:pos="993"/>
              </w:tabs>
              <w:ind w:right="-1" w:firstLine="458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Общий срок оказания Услуг по Договору составляет 24 месяца с даты заключения Договора. Истечение срока оказания Услуг не влечет за собой прекращения исполнения обязательств по Обращениям, принятым в работу Сторонами до даты его истечения, такие Обращения подлежат исполнению Сторонами в соответствии с положениями Договора.</w:t>
            </w:r>
          </w:p>
          <w:p>
            <w:pPr>
              <w:tabs>
                <w:tab w:val="left" w:pos="425"/>
                <w:tab w:val="left" w:pos="709"/>
                <w:tab w:val="left" w:pos="993"/>
              </w:tabs>
              <w:ind w:right="-1" w:firstLine="458"/>
              <w:contextualSpacing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b/>
              </w:rPr>
              <w:t>Срок действия Договора</w:t>
            </w:r>
            <w:r>
              <w:rPr>
                <w:rFonts w:eastAsia="Calibri"/>
                <w:i/>
              </w:rPr>
              <w:t xml:space="preserve">: </w:t>
            </w:r>
          </w:p>
          <w:p>
            <w:pPr>
              <w:ind w:firstLine="458"/>
              <w:jc w:val="both"/>
              <w:rPr>
                <w:b/>
              </w:rPr>
            </w:pPr>
            <w:r>
              <w:rPr>
                <w:rFonts w:eastAsia="Calibri"/>
              </w:rPr>
              <w:t xml:space="preserve">Договор вступает в силу с даты его подписания и действует до полного исполнения Сторонами всех обязательств по нему. </w:t>
            </w:r>
          </w:p>
        </w:tc>
        <w:tc>
          <w:tcPr>
            <w:tcW w:w="1022" w:type="pct"/>
            <w:shd w:val="clear" w:color="auto" w:fill="auto"/>
          </w:tcPr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lastRenderedPageBreak/>
              <w:t>1)</w:t>
            </w:r>
            <w:r>
              <w:rPr>
                <w:bCs/>
              </w:rPr>
              <w:tab/>
              <w:t xml:space="preserve">ПАО «Россети» -контролирующее лицо </w:t>
            </w:r>
            <w:r>
              <w:rPr>
                <w:bCs/>
              </w:rPr>
              <w:br/>
              <w:t xml:space="preserve">ПАО «Россети Волга» и </w:t>
            </w:r>
            <w:r>
              <w:rPr>
                <w:bCs/>
              </w:rPr>
              <w:br/>
              <w:t>АО «Россети Цифра».</w:t>
            </w:r>
          </w:p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t>2)</w:t>
            </w:r>
            <w:r>
              <w:rPr>
                <w:bCs/>
              </w:rPr>
              <w:tab/>
              <w:t>Харитонов Владимир Вячеславович - член Совета директоров ПАО «Россети Волга», одновременно являющийся членом Совета директоров АО «Россети Цифра».</w:t>
            </w:r>
          </w:p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t>3)</w:t>
            </w:r>
            <w:r>
              <w:rPr>
                <w:bCs/>
              </w:rPr>
              <w:tab/>
              <w:t xml:space="preserve">Мольский Алексей Валерьевич- член Совета директоров ПАО «Россети Волга», одновременно являющийся членом Совета </w:t>
            </w:r>
            <w:r>
              <w:rPr>
                <w:bCs/>
              </w:rPr>
              <w:lastRenderedPageBreak/>
              <w:t>директоров АО «Россети Цифра».</w:t>
            </w:r>
          </w:p>
        </w:tc>
        <w:tc>
          <w:tcPr>
            <w:tcW w:w="530" w:type="pct"/>
            <w:shd w:val="clear" w:color="auto" w:fill="auto"/>
          </w:tcPr>
          <w:p>
            <w:pPr>
              <w:ind w:firstLine="34"/>
              <w:jc w:val="center"/>
            </w:pPr>
            <w:r>
              <w:lastRenderedPageBreak/>
              <w:t>от 18.11.2025</w:t>
            </w:r>
          </w:p>
          <w:p>
            <w:pPr>
              <w:ind w:firstLine="34"/>
              <w:jc w:val="center"/>
            </w:pPr>
            <w:r>
              <w:t>№ МР6/1/263</w:t>
            </w:r>
          </w:p>
        </w:tc>
        <w:tc>
          <w:tcPr>
            <w:tcW w:w="628" w:type="pct"/>
            <w:shd w:val="clear" w:color="auto" w:fill="auto"/>
          </w:tcPr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Совет директоров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 xml:space="preserve">ПАО «Россети Волга» 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04.12.2025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(</w:t>
            </w:r>
            <w:r>
              <w:rPr>
                <w:rFonts w:eastAsia="Calibri"/>
                <w:shd w:val="clear" w:color="auto" w:fill="FFFFFF"/>
              </w:rPr>
              <w:t xml:space="preserve">протокол 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 xml:space="preserve">от 05.12.2025 </w:t>
            </w:r>
            <w:r>
              <w:rPr>
                <w:rFonts w:eastAsia="Calibri"/>
                <w:shd w:val="clear" w:color="auto" w:fill="FFFFFF"/>
              </w:rPr>
              <w:br/>
              <w:t>№ 12)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</w:p>
        </w:tc>
      </w:tr>
      <w:tr>
        <w:trPr>
          <w:trHeight w:val="558"/>
        </w:trPr>
        <w:tc>
          <w:tcPr>
            <w:tcW w:w="186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9" w:type="pct"/>
            <w:shd w:val="clear" w:color="auto" w:fill="auto"/>
          </w:tcPr>
          <w:p>
            <w:pPr>
              <w:keepNext/>
              <w:jc w:val="center"/>
              <w:outlineLvl w:val="0"/>
            </w:pPr>
            <w:r>
              <w:t>Договор купли-продажи имущества</w:t>
            </w:r>
          </w:p>
          <w:p>
            <w:pPr>
              <w:keepNext/>
              <w:jc w:val="center"/>
              <w:outlineLvl w:val="0"/>
            </w:pPr>
            <w:r>
              <w:t>№ 2591-001199</w:t>
            </w:r>
          </w:p>
        </w:tc>
        <w:tc>
          <w:tcPr>
            <w:tcW w:w="517" w:type="pct"/>
            <w:shd w:val="clear" w:color="auto" w:fill="auto"/>
          </w:tcPr>
          <w:p>
            <w:pPr>
              <w:keepNext/>
              <w:jc w:val="center"/>
              <w:outlineLvl w:val="0"/>
              <w:rPr>
                <w:bCs/>
              </w:rPr>
            </w:pPr>
            <w:r>
              <w:rPr>
                <w:bCs/>
              </w:rPr>
              <w:t>29.12.2025</w:t>
            </w:r>
          </w:p>
        </w:tc>
        <w:tc>
          <w:tcPr>
            <w:tcW w:w="1458" w:type="pct"/>
            <w:shd w:val="clear" w:color="auto" w:fill="auto"/>
          </w:tcPr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rPr>
                <w:b/>
                <w:bCs/>
              </w:rPr>
              <w:t>Стороны Сделки:</w:t>
            </w:r>
            <w:r>
              <w:t xml:space="preserve"> </w:t>
            </w:r>
          </w:p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t>ПАО «Россети Волга» (Покупатель);</w:t>
            </w:r>
          </w:p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t>АО «Энергосервис Волги» (Продавец).</w:t>
            </w:r>
          </w:p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rPr>
                <w:b/>
                <w:bCs/>
              </w:rPr>
              <w:t>Предмет Сделки:</w:t>
            </w:r>
          </w:p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t xml:space="preserve">Продавец обязуется передать в собственность Покупателя, а Покупатель принять и оплатить на условиях, предусмотренных договором </w:t>
            </w:r>
            <w:r>
              <w:rPr>
                <w:rFonts w:eastAsia="Calibri"/>
                <w:spacing w:val="-1"/>
              </w:rPr>
              <w:t>купли-продажи имущества, движимое и недвижимое имущество по перечню, согласно приложению 4 к настоящему отчету (далее - Имущество):</w:t>
            </w:r>
          </w:p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rPr>
                <w:b/>
                <w:bCs/>
              </w:rPr>
              <w:t>Способ приобретения Имущества:</w:t>
            </w:r>
          </w:p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t>Заключение договора купли-продажи имущества.</w:t>
            </w:r>
          </w:p>
          <w:p>
            <w:pPr>
              <w:ind w:firstLine="458"/>
              <w:jc w:val="both"/>
            </w:pPr>
            <w:r>
              <w:rPr>
                <w:b/>
                <w:bCs/>
              </w:rPr>
              <w:t>Цена:</w:t>
            </w:r>
            <w:r>
              <w:t xml:space="preserve"> </w:t>
            </w:r>
          </w:p>
          <w:p>
            <w:pPr>
              <w:ind w:firstLine="458"/>
              <w:jc w:val="both"/>
            </w:pPr>
            <w:r>
              <w:t xml:space="preserve">Цена приобретаемого Имущества составляет 121 402 542 (Сто двадцать один миллион четыреста две тысячи пятьсот сорок два) рубля 00 копеек, кроме того НДС в размере 24 272 508 (Двадцать четыре миллиона двести </w:t>
            </w:r>
            <w:r>
              <w:lastRenderedPageBreak/>
              <w:t>семьдесят две тысячи пятьсот восемь) рублей 40 копеек, всего с НДС 145 675 050 (Сто сорок пять миллионов шестьсот семьдесят пять тысяч пятьдесят) рублей 40 копеек.</w:t>
            </w:r>
          </w:p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rPr>
                <w:b/>
                <w:bCs/>
              </w:rPr>
              <w:t>Порядок расчетов и передачи имущества:</w:t>
            </w:r>
          </w:p>
          <w:p>
            <w:pPr>
              <w:ind w:firstLine="458"/>
              <w:jc w:val="both"/>
              <w:rPr>
                <w:rFonts w:ascii="Calibri" w:eastAsia="Calibri" w:hAnsi="Calibri"/>
              </w:rPr>
            </w:pPr>
            <w:r>
              <w:t xml:space="preserve">Покупатель обязуется оплатить Имущество путем перечисления на расчетный счет Продавца денежных средств в срок не позднее 30 (Тридцати) рабочих дней с момента выставления счета Продавцом. Счет на оплату выставляется Продавцом в течение 5 (Пяти) рабочих дней с момента подписания акта приема-передачи имущества. </w:t>
            </w:r>
          </w:p>
          <w:p>
            <w:pPr>
              <w:ind w:firstLine="458"/>
              <w:jc w:val="both"/>
            </w:pPr>
            <w:r>
              <w:t>Имущество передается от Продавца к Покупателю в течение 5 (Пяти) рабочих дней после подписания договора купли-продажи посредством подписания сторонами акта приема-передачи имущества.</w:t>
            </w:r>
          </w:p>
          <w:p>
            <w:pPr>
              <w:widowControl w:val="0"/>
              <w:tabs>
                <w:tab w:val="left" w:pos="993"/>
              </w:tabs>
              <w:ind w:firstLine="458"/>
              <w:jc w:val="both"/>
            </w:pPr>
            <w:r>
              <w:t xml:space="preserve">Право собственности на недвижимое имущество переходит от Продавца </w:t>
            </w:r>
            <w:r>
              <w:br/>
              <w:t xml:space="preserve">к Покупателю с момента государственной регистрации перехода права собственности в органе, осуществляющем регистрацию прав на недвижимое имущество и сделок </w:t>
            </w:r>
            <w:r>
              <w:br/>
              <w:t>с ним.</w:t>
            </w:r>
          </w:p>
          <w:p>
            <w:pPr>
              <w:widowControl w:val="0"/>
              <w:tabs>
                <w:tab w:val="left" w:pos="-1418"/>
                <w:tab w:val="left" w:pos="0"/>
                <w:tab w:val="left" w:pos="1134"/>
              </w:tabs>
              <w:ind w:firstLine="458"/>
              <w:jc w:val="both"/>
              <w:rPr>
                <w:rFonts w:eastAsia="Calibri"/>
                <w:b/>
              </w:rPr>
            </w:pPr>
            <w:r>
              <w:t xml:space="preserve">Право собственности на движимое имущество переходит от Продавца </w:t>
            </w:r>
            <w:r>
              <w:br/>
              <w:t>к Покупателю с момента подписания Акта приема-передачи Имущества.</w:t>
            </w:r>
          </w:p>
        </w:tc>
        <w:tc>
          <w:tcPr>
            <w:tcW w:w="1022" w:type="pct"/>
            <w:shd w:val="clear" w:color="auto" w:fill="auto"/>
          </w:tcPr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lastRenderedPageBreak/>
              <w:t>1)</w:t>
            </w:r>
            <w:r>
              <w:rPr>
                <w:bCs/>
              </w:rPr>
              <w:tab/>
              <w:t xml:space="preserve">ПАО «Россети» -контролирующее лицо </w:t>
            </w:r>
            <w:r>
              <w:rPr>
                <w:bCs/>
              </w:rPr>
              <w:br/>
              <w:t xml:space="preserve">ПАО «Россети Волга» и </w:t>
            </w:r>
            <w:r>
              <w:rPr>
                <w:bCs/>
              </w:rPr>
              <w:br/>
              <w:t>АО «Энергосервис Волги».</w:t>
            </w:r>
          </w:p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t>2)</w:t>
            </w:r>
            <w:r>
              <w:rPr>
                <w:bCs/>
              </w:rPr>
              <w:tab/>
              <w:t xml:space="preserve">Голов Андрей Валерьевич - член Правления </w:t>
            </w:r>
            <w:r>
              <w:rPr>
                <w:bCs/>
              </w:rPr>
              <w:br/>
              <w:t>ПАО «Россети Волга», одновременно являющийся членом Совета директоров АО «Энергосервис Волги».</w:t>
            </w:r>
          </w:p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t>3)</w:t>
            </w:r>
            <w:r>
              <w:rPr>
                <w:bCs/>
              </w:rPr>
              <w:tab/>
            </w:r>
            <w:r>
              <w:t xml:space="preserve"> </w:t>
            </w:r>
            <w:r>
              <w:rPr>
                <w:bCs/>
              </w:rPr>
              <w:t>Коневец Кирилл Сергеевич - член Правления ПАО «Россети Волга», одновременно являющийся членом Совета директоров АО «Энергосервис Волги».</w:t>
            </w:r>
          </w:p>
          <w:p>
            <w:pPr>
              <w:tabs>
                <w:tab w:val="left" w:pos="316"/>
              </w:tabs>
              <w:ind w:left="32"/>
              <w:jc w:val="both"/>
              <w:rPr>
                <w:bCs/>
              </w:rPr>
            </w:pPr>
            <w:r>
              <w:rPr>
                <w:bCs/>
              </w:rPr>
              <w:t>3)</w:t>
            </w:r>
            <w:r>
              <w:rPr>
                <w:bCs/>
              </w:rPr>
              <w:tab/>
              <w:t xml:space="preserve"> </w:t>
            </w:r>
            <w:r>
              <w:t xml:space="preserve"> </w:t>
            </w:r>
            <w:r>
              <w:rPr>
                <w:bCs/>
              </w:rPr>
              <w:t xml:space="preserve">Аджиев Мухаммат Срафилович - член Правления ПАО «Россети Волга», одновременно являющийся </w:t>
            </w:r>
            <w:r>
              <w:rPr>
                <w:bCs/>
              </w:rPr>
              <w:lastRenderedPageBreak/>
              <w:t>членом Совета директоров АО «Энергосервис Волги».</w:t>
            </w:r>
          </w:p>
        </w:tc>
        <w:tc>
          <w:tcPr>
            <w:tcW w:w="530" w:type="pct"/>
            <w:shd w:val="clear" w:color="auto" w:fill="auto"/>
          </w:tcPr>
          <w:p>
            <w:pPr>
              <w:ind w:firstLine="34"/>
              <w:jc w:val="center"/>
            </w:pPr>
            <w:r>
              <w:lastRenderedPageBreak/>
              <w:t>от 19.12.2025</w:t>
            </w:r>
          </w:p>
          <w:p>
            <w:pPr>
              <w:ind w:firstLine="34"/>
              <w:jc w:val="center"/>
            </w:pPr>
            <w:r>
              <w:t>№ МР6/1/312</w:t>
            </w:r>
          </w:p>
        </w:tc>
        <w:tc>
          <w:tcPr>
            <w:tcW w:w="628" w:type="pct"/>
            <w:shd w:val="clear" w:color="auto" w:fill="auto"/>
          </w:tcPr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Совет директоров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 xml:space="preserve">ПАО «Россети Волга» 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24.12.2025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(</w:t>
            </w:r>
            <w:r>
              <w:rPr>
                <w:rFonts w:eastAsia="Calibri"/>
                <w:shd w:val="clear" w:color="auto" w:fill="FFFFFF"/>
              </w:rPr>
              <w:t xml:space="preserve">протокол </w:t>
            </w:r>
          </w:p>
          <w:p>
            <w:pPr>
              <w:jc w:val="center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 xml:space="preserve">от 24.12.2025 </w:t>
            </w:r>
            <w:r>
              <w:rPr>
                <w:rFonts w:eastAsia="Calibri"/>
                <w:shd w:val="clear" w:color="auto" w:fill="FFFFFF"/>
              </w:rPr>
              <w:br/>
              <w:t>№ 13)</w:t>
            </w:r>
          </w:p>
          <w:p>
            <w:pPr>
              <w:jc w:val="center"/>
              <w:rPr>
                <w:rFonts w:eastAsia="Calibri"/>
                <w:bCs/>
                <w:shd w:val="clear" w:color="auto" w:fill="FFFFFF"/>
              </w:rPr>
            </w:pPr>
          </w:p>
        </w:tc>
      </w:tr>
    </w:tbl>
    <w:p>
      <w:pPr>
        <w:rPr>
          <w:sz w:val="16"/>
          <w:szCs w:val="16"/>
        </w:rPr>
      </w:pPr>
    </w:p>
    <w:p>
      <w:pPr>
        <w:rPr>
          <w:sz w:val="16"/>
          <w:szCs w:val="16"/>
        </w:rPr>
      </w:pPr>
    </w:p>
    <w:p>
      <w:pPr>
        <w:rPr>
          <w:sz w:val="16"/>
          <w:szCs w:val="16"/>
        </w:rPr>
      </w:pPr>
    </w:p>
    <w:p>
      <w:pPr>
        <w:rPr>
          <w:sz w:val="16"/>
          <w:szCs w:val="16"/>
        </w:rPr>
      </w:pPr>
    </w:p>
    <w:sectPr>
      <w:footerReference w:type="default" r:id="rId9"/>
      <w:footerReference w:type="first" r:id="rId10"/>
      <w:pgSz w:w="16838" w:h="11906" w:orient="landscape"/>
      <w:pgMar w:top="993" w:right="1134" w:bottom="850" w:left="1134" w:header="567" w:footer="567" w:gutter="0"/>
      <w:pgNumType w:start="376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10" w16cid:durableId="2540A805"/>
  <w16cid:commentId w16cid:paraId="0000000F" w16cid:durableId="3142D1D6"/>
  <w16cid:commentId w16cid:paraId="00000009" w16cid:durableId="0DABFA84"/>
  <w16cid:commentId w16cid:paraId="00000007" w16cid:durableId="464609BB"/>
  <w16cid:commentId w16cid:paraId="00000006" w16cid:durableId="2526AEB4"/>
  <w16cid:commentId w16cid:paraId="00000011" w16cid:durableId="13EFD77E"/>
  <w16cid:commentId w16cid:paraId="00000005" w16cid:durableId="130550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9876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393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i/>
        <w:color w:val="002060"/>
        <w:sz w:val="20"/>
        <w:szCs w:val="20"/>
        <w:lang w:val="x-none" w:eastAsia="x-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600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376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ac"/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Цена отчуждаемых либо приобретаемых имущества или услуг опреде</w:t>
      </w:r>
      <w:bookmarkStart w:id="1" w:name="_GoBack"/>
      <w:bookmarkEnd w:id="1"/>
      <w:r>
        <w:rPr>
          <w:rFonts w:ascii="Times New Roman" w:hAnsi="Times New Roman" w:cs="Times New Roman"/>
        </w:rPr>
        <w:t>ляется советом директоров общества исходя из рыночной стоимости, в соответствии со статьей 77 ФЗ «Об акционерных обществах»</w:t>
      </w:r>
    </w:p>
  </w:footnote>
  <w:footnote w:id="2">
    <w:p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>
        <w:rPr>
          <w:rFonts w:ascii="Times New Roman" w:eastAsia="Calibri" w:hAnsi="Times New Roman" w:cs="Times New Roman"/>
        </w:rPr>
        <w:t>В связи с тем, что цена сделки составляет более двух процентов активов по данным консолидированной финансовой отчетности ПАО «Россети Волга», подготовленной в соответствии с международными стандартами финансовой отчётности за год, закончившийся 31 декабря 2024 года (дата окончания последнего предшествующего совершению сделки завершенного отчетного периода), информация о сделке раскрывается в объеме, предусмотренном пунктом 59.3 Положения Банка России от 27.03.2020 № 714-П «О раскрытии информации эмитентами эмиссионных ценных бумаг»</w:t>
      </w:r>
    </w:p>
  </w:footnote>
  <w:footnote w:id="3">
    <w:p>
      <w:pPr>
        <w:pStyle w:val="ac"/>
        <w:jc w:val="both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В связи с тем, что цена сделки составляет более двух процентов активов по данным консолидированной финансовой отчетности ПАО «Россети Волга», подготовленной в соответствии с международными стандартами финансовой отчётности за три и шесть месяцев, закончившихся 30 июня 2025 года (дата окончания последнего предшествующего совершению сделки завершенного отчетного периода), информация о сделке раскрывается в объеме, предусмотренном пунктом 59.3 Положения Банка России от 27.03.2020 № 714-П «О раскрытии информации эмитентами эмиссионных ценных бумаг»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353"/>
    <w:multiLevelType w:val="hybridMultilevel"/>
    <w:tmpl w:val="71380A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C01D6"/>
    <w:multiLevelType w:val="hybridMultilevel"/>
    <w:tmpl w:val="30CC6EE8"/>
    <w:lvl w:ilvl="0" w:tplc="0C8834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0502252" w:tentative="1">
      <w:start w:val="1"/>
      <w:numFmt w:val="lowerLetter"/>
      <w:lvlText w:val="%2."/>
      <w:lvlJc w:val="left"/>
      <w:pPr>
        <w:ind w:left="1440" w:hanging="360"/>
      </w:pPr>
    </w:lvl>
    <w:lvl w:ilvl="2" w:tplc="2A00A73E" w:tentative="1">
      <w:start w:val="1"/>
      <w:numFmt w:val="lowerRoman"/>
      <w:lvlText w:val="%3."/>
      <w:lvlJc w:val="right"/>
      <w:pPr>
        <w:ind w:left="2160" w:hanging="180"/>
      </w:pPr>
    </w:lvl>
    <w:lvl w:ilvl="3" w:tplc="A42C9B42" w:tentative="1">
      <w:start w:val="1"/>
      <w:numFmt w:val="decimal"/>
      <w:lvlText w:val="%4."/>
      <w:lvlJc w:val="left"/>
      <w:pPr>
        <w:ind w:left="2880" w:hanging="360"/>
      </w:pPr>
    </w:lvl>
    <w:lvl w:ilvl="4" w:tplc="D02CE142" w:tentative="1">
      <w:start w:val="1"/>
      <w:numFmt w:val="lowerLetter"/>
      <w:lvlText w:val="%5."/>
      <w:lvlJc w:val="left"/>
      <w:pPr>
        <w:ind w:left="3600" w:hanging="360"/>
      </w:pPr>
    </w:lvl>
    <w:lvl w:ilvl="5" w:tplc="3B06D090" w:tentative="1">
      <w:start w:val="1"/>
      <w:numFmt w:val="lowerRoman"/>
      <w:lvlText w:val="%6."/>
      <w:lvlJc w:val="right"/>
      <w:pPr>
        <w:ind w:left="4320" w:hanging="180"/>
      </w:pPr>
    </w:lvl>
    <w:lvl w:ilvl="6" w:tplc="A8CC2E0A" w:tentative="1">
      <w:start w:val="1"/>
      <w:numFmt w:val="decimal"/>
      <w:lvlText w:val="%7."/>
      <w:lvlJc w:val="left"/>
      <w:pPr>
        <w:ind w:left="5040" w:hanging="360"/>
      </w:pPr>
    </w:lvl>
    <w:lvl w:ilvl="7" w:tplc="A2AAF70C" w:tentative="1">
      <w:start w:val="1"/>
      <w:numFmt w:val="lowerLetter"/>
      <w:lvlText w:val="%8."/>
      <w:lvlJc w:val="left"/>
      <w:pPr>
        <w:ind w:left="5760" w:hanging="360"/>
      </w:pPr>
    </w:lvl>
    <w:lvl w:ilvl="8" w:tplc="35067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32A4B"/>
    <w:multiLevelType w:val="hybridMultilevel"/>
    <w:tmpl w:val="857439C4"/>
    <w:lvl w:ilvl="0" w:tplc="395CD3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A60E15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1F42F6E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E57EAC2A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5AC50A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82CE8526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968149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46EFC1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168D9E4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ED4D63"/>
    <w:multiLevelType w:val="hybridMultilevel"/>
    <w:tmpl w:val="06229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24E47"/>
    <w:multiLevelType w:val="hybridMultilevel"/>
    <w:tmpl w:val="A04061DE"/>
    <w:lvl w:ilvl="0" w:tplc="587AAD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55C56BC" w:tentative="1">
      <w:start w:val="1"/>
      <w:numFmt w:val="lowerLetter"/>
      <w:lvlText w:val="%2."/>
      <w:lvlJc w:val="left"/>
      <w:pPr>
        <w:ind w:left="1440" w:hanging="360"/>
      </w:pPr>
    </w:lvl>
    <w:lvl w:ilvl="2" w:tplc="CB6C9370" w:tentative="1">
      <w:start w:val="1"/>
      <w:numFmt w:val="lowerRoman"/>
      <w:lvlText w:val="%3."/>
      <w:lvlJc w:val="right"/>
      <w:pPr>
        <w:ind w:left="2160" w:hanging="180"/>
      </w:pPr>
    </w:lvl>
    <w:lvl w:ilvl="3" w:tplc="9A227E46" w:tentative="1">
      <w:start w:val="1"/>
      <w:numFmt w:val="decimal"/>
      <w:lvlText w:val="%4."/>
      <w:lvlJc w:val="left"/>
      <w:pPr>
        <w:ind w:left="2880" w:hanging="360"/>
      </w:pPr>
    </w:lvl>
    <w:lvl w:ilvl="4" w:tplc="E71CE0F2" w:tentative="1">
      <w:start w:val="1"/>
      <w:numFmt w:val="lowerLetter"/>
      <w:lvlText w:val="%5."/>
      <w:lvlJc w:val="left"/>
      <w:pPr>
        <w:ind w:left="3600" w:hanging="360"/>
      </w:pPr>
    </w:lvl>
    <w:lvl w:ilvl="5" w:tplc="5F8A99E4" w:tentative="1">
      <w:start w:val="1"/>
      <w:numFmt w:val="lowerRoman"/>
      <w:lvlText w:val="%6."/>
      <w:lvlJc w:val="right"/>
      <w:pPr>
        <w:ind w:left="4320" w:hanging="180"/>
      </w:pPr>
    </w:lvl>
    <w:lvl w:ilvl="6" w:tplc="54E0681E" w:tentative="1">
      <w:start w:val="1"/>
      <w:numFmt w:val="decimal"/>
      <w:lvlText w:val="%7."/>
      <w:lvlJc w:val="left"/>
      <w:pPr>
        <w:ind w:left="5040" w:hanging="360"/>
      </w:pPr>
    </w:lvl>
    <w:lvl w:ilvl="7" w:tplc="BC16501C" w:tentative="1">
      <w:start w:val="1"/>
      <w:numFmt w:val="lowerLetter"/>
      <w:lvlText w:val="%8."/>
      <w:lvlJc w:val="left"/>
      <w:pPr>
        <w:ind w:left="5760" w:hanging="360"/>
      </w:pPr>
    </w:lvl>
    <w:lvl w:ilvl="8" w:tplc="BD62CB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87CFF"/>
    <w:multiLevelType w:val="hybridMultilevel"/>
    <w:tmpl w:val="16E8FF44"/>
    <w:lvl w:ilvl="0" w:tplc="0C8834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0502252" w:tentative="1">
      <w:start w:val="1"/>
      <w:numFmt w:val="lowerLetter"/>
      <w:lvlText w:val="%2."/>
      <w:lvlJc w:val="left"/>
      <w:pPr>
        <w:ind w:left="1440" w:hanging="360"/>
      </w:pPr>
    </w:lvl>
    <w:lvl w:ilvl="2" w:tplc="2A00A73E" w:tentative="1">
      <w:start w:val="1"/>
      <w:numFmt w:val="lowerRoman"/>
      <w:lvlText w:val="%3."/>
      <w:lvlJc w:val="right"/>
      <w:pPr>
        <w:ind w:left="2160" w:hanging="180"/>
      </w:pPr>
    </w:lvl>
    <w:lvl w:ilvl="3" w:tplc="A42C9B42" w:tentative="1">
      <w:start w:val="1"/>
      <w:numFmt w:val="decimal"/>
      <w:lvlText w:val="%4."/>
      <w:lvlJc w:val="left"/>
      <w:pPr>
        <w:ind w:left="2880" w:hanging="360"/>
      </w:pPr>
    </w:lvl>
    <w:lvl w:ilvl="4" w:tplc="D02CE142" w:tentative="1">
      <w:start w:val="1"/>
      <w:numFmt w:val="lowerLetter"/>
      <w:lvlText w:val="%5."/>
      <w:lvlJc w:val="left"/>
      <w:pPr>
        <w:ind w:left="3600" w:hanging="360"/>
      </w:pPr>
    </w:lvl>
    <w:lvl w:ilvl="5" w:tplc="3B06D090" w:tentative="1">
      <w:start w:val="1"/>
      <w:numFmt w:val="lowerRoman"/>
      <w:lvlText w:val="%6."/>
      <w:lvlJc w:val="right"/>
      <w:pPr>
        <w:ind w:left="4320" w:hanging="180"/>
      </w:pPr>
    </w:lvl>
    <w:lvl w:ilvl="6" w:tplc="A8CC2E0A" w:tentative="1">
      <w:start w:val="1"/>
      <w:numFmt w:val="decimal"/>
      <w:lvlText w:val="%7."/>
      <w:lvlJc w:val="left"/>
      <w:pPr>
        <w:ind w:left="5040" w:hanging="360"/>
      </w:pPr>
    </w:lvl>
    <w:lvl w:ilvl="7" w:tplc="A2AAF70C" w:tentative="1">
      <w:start w:val="1"/>
      <w:numFmt w:val="lowerLetter"/>
      <w:lvlText w:val="%8."/>
      <w:lvlJc w:val="left"/>
      <w:pPr>
        <w:ind w:left="5760" w:hanging="360"/>
      </w:pPr>
    </w:lvl>
    <w:lvl w:ilvl="8" w:tplc="35067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15F29"/>
    <w:multiLevelType w:val="hybridMultilevel"/>
    <w:tmpl w:val="E578E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B55CA"/>
    <w:multiLevelType w:val="hybridMultilevel"/>
    <w:tmpl w:val="D93A19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3F5553-1E85-4D37-A586-C164A3E4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b/>
      <w:bCs/>
      <w:sz w:val="20"/>
      <w:szCs w:val="20"/>
    </w:rPr>
  </w:style>
  <w:style w:type="paragraph" w:styleId="af4">
    <w:name w:val="Revision"/>
    <w:hidden/>
    <w:uiPriority w:val="99"/>
    <w:semiHidden/>
    <w:pPr>
      <w:spacing w:after="0" w:line="240" w:lineRule="auto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EBA76-F08D-422E-A9B7-A765B23B0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18</Pages>
  <Words>4664</Words>
  <Characters>26586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Мошков Павел Александрович</dc:creator>
  <cp:keywords/>
  <dc:description/>
  <cp:lastModifiedBy>Реброва Екатерина Андреевна</cp:lastModifiedBy>
  <cp:revision>9</cp:revision>
  <cp:lastPrinted>2026-03-11T11:17:00Z</cp:lastPrinted>
  <dcterms:created xsi:type="dcterms:W3CDTF">2026-04-23T07:12:00Z</dcterms:created>
  <dcterms:modified xsi:type="dcterms:W3CDTF">2026-05-14T08:08:00Z</dcterms:modified>
</cp:coreProperties>
</file>